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2274D" w14:textId="77777777" w:rsidR="00507D25" w:rsidRDefault="00507D25">
      <w:pPr>
        <w:spacing w:after="0" w:line="240" w:lineRule="auto"/>
        <w:rPr>
          <w:rFonts w:ascii="宋体" w:eastAsia="宋体" w:hint="eastAsia"/>
          <w:sz w:val="32"/>
          <w:szCs w:val="32"/>
        </w:rPr>
      </w:pPr>
    </w:p>
    <w:p w14:paraId="72DAA883" w14:textId="77777777" w:rsidR="00507D25" w:rsidRDefault="00507D25">
      <w:pPr>
        <w:spacing w:after="0" w:line="240" w:lineRule="auto"/>
        <w:rPr>
          <w:rFonts w:ascii="宋体" w:eastAsia="宋体" w:hint="eastAsia"/>
          <w:sz w:val="44"/>
          <w:szCs w:val="44"/>
        </w:rPr>
      </w:pPr>
    </w:p>
    <w:p w14:paraId="497F9DE1" w14:textId="77777777" w:rsidR="00507D25" w:rsidRDefault="00507D25">
      <w:pPr>
        <w:spacing w:after="0" w:line="240" w:lineRule="auto"/>
        <w:rPr>
          <w:rFonts w:ascii="宋体" w:eastAsia="宋体" w:hint="eastAsia"/>
          <w:sz w:val="44"/>
          <w:szCs w:val="44"/>
        </w:rPr>
      </w:pPr>
    </w:p>
    <w:p w14:paraId="3FD896FB" w14:textId="77777777" w:rsidR="00507D25" w:rsidRDefault="00507D25">
      <w:pPr>
        <w:spacing w:after="0" w:line="240" w:lineRule="auto"/>
        <w:rPr>
          <w:rFonts w:ascii="宋体" w:eastAsia="宋体" w:hint="eastAsia"/>
          <w:sz w:val="44"/>
          <w:szCs w:val="44"/>
        </w:rPr>
      </w:pPr>
    </w:p>
    <w:p w14:paraId="7324F7A4" w14:textId="77777777" w:rsidR="00507D25"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木垒哈萨克自治县市场监督管理局</w:t>
      </w:r>
    </w:p>
    <w:p w14:paraId="6C3D5453" w14:textId="77777777" w:rsidR="00507D25"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7D8D6D6" w14:textId="77777777" w:rsidR="00507D25" w:rsidRDefault="00000000">
      <w:pPr>
        <w:rPr>
          <w:rFonts w:hint="eastAsia"/>
          <w:lang w:eastAsia="zh-CN"/>
        </w:rPr>
      </w:pPr>
      <w:r>
        <w:rPr>
          <w:sz w:val="0"/>
          <w:szCs w:val="0"/>
          <w:lang w:eastAsia="zh-CN"/>
        </w:rPr>
        <w:br w:type="page"/>
      </w:r>
    </w:p>
    <w:p w14:paraId="24B68BC3" w14:textId="77777777" w:rsidR="00507D25"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A1C7E47"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2251362"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36542CF"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EC0DF7C"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84A7230"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B0B629F"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ED336AA"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7E50DD8"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950FB7F"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2CD23C8"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2E29807"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9EF45B7"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B528360"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786EA7E"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DDEBDE9"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5288131"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DF0FDDB"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1479838"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2A77822"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DB87763"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8C8CBEE"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A4467CA"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D4E93D0"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A896DD4"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5471AA2"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3D590AB"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31BC577"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B733BCC"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EC9EB95"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35F9150"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4569043"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7E95140"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CDEE833" w14:textId="77777777" w:rsidR="00507D2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E7EF892" w14:textId="77777777" w:rsidR="00507D25" w:rsidRDefault="00000000">
      <w:pPr>
        <w:rPr>
          <w:rFonts w:hint="eastAsia"/>
          <w:lang w:eastAsia="zh-CN"/>
        </w:rPr>
      </w:pPr>
      <w:r>
        <w:rPr>
          <w:sz w:val="0"/>
          <w:szCs w:val="0"/>
          <w:lang w:eastAsia="zh-CN"/>
        </w:rPr>
        <w:br w:type="page"/>
      </w:r>
    </w:p>
    <w:p w14:paraId="3812BF3F" w14:textId="77777777" w:rsidR="00507D2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23FB54B"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11ADD2F"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县市场监督管理局的主要职能是主要负责市场综合监督管理和知识产权管理。负责市场主体统一登记注册。负责市场监管和知识产权综合执法工作。配合上级部门开展反垄断执法。负责集贸市场和个体工商户安全生产管理。负责宏观质量管理。负责产品质量安全监督管理。负责特种设备安全监督管理。负责食品安全监督管理综合协调。负责食品安全监督管理。负责统一管理标准化、计量、检验检测、认证认可工作。负责促进知识产权运用，负责保护知识产权。负责药品、医疗器械和化妆品安全监督管理。负责药品、化妆品不良反应和医疗器械不良事件监测工作。负责本部门科技与信息化建设、新闻宣传。承担自治县食品安全委员会的具体工作。完成自治县党委、自治县人民政府交办的其他任务。</w:t>
      </w:r>
    </w:p>
    <w:p w14:paraId="1EA40CDF"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68E94B7"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木垒哈萨克自治县市场监督管理局2024年度，实有人数84人，其中：在职人员44人，减少4人；离休人员0人，较上年无变化；退休人员40人，增加7人。</w:t>
      </w:r>
    </w:p>
    <w:p w14:paraId="76EBF1D1"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市场监督管理局无下属预算单位，下设9个科室，分别是：办公室、应急管理与信用监管股、知识产权广告价格监管股、行政审批股、食品生产经营监管股、药品化妆品医疗器械监管股、市场执法稽查股、标准计量质量监管股、特种设备安全监察股。</w:t>
      </w:r>
    </w:p>
    <w:p w14:paraId="54A8C7C0" w14:textId="77777777" w:rsidR="00507D25" w:rsidRDefault="00000000">
      <w:pPr>
        <w:rPr>
          <w:rFonts w:hint="eastAsia"/>
          <w:lang w:eastAsia="zh-CN"/>
        </w:rPr>
      </w:pPr>
      <w:r>
        <w:rPr>
          <w:sz w:val="0"/>
          <w:szCs w:val="0"/>
          <w:lang w:eastAsia="zh-CN"/>
        </w:rPr>
        <w:br w:type="page"/>
      </w:r>
    </w:p>
    <w:p w14:paraId="6A03EF15" w14:textId="77777777" w:rsidR="00507D2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3F7ECC5"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94309DF"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2024年度收入总计1,050.22万元，其中：本年收入合计971.14万元，使用非财政拨款结余（含专用结余）0.00万元，年初结转和结余79.08万元。</w:t>
      </w:r>
    </w:p>
    <w:p w14:paraId="2BDE94B8"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2024年度支出总计1,050.22万元，其中：本年支出合计971.14万元，结余分配0.00万元，年末结转和结余79.08万元。</w:t>
      </w:r>
    </w:p>
    <w:p w14:paraId="14FC0F1E"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收入支出总体与上年相比，减少115.01万元，下降9.87%，主要原因是：</w:t>
      </w:r>
      <w:r>
        <w:rPr>
          <w:rFonts w:ascii="仿宋_GB2312" w:eastAsia="仿宋_GB2312" w:hint="eastAsia"/>
          <w:sz w:val="32"/>
          <w:szCs w:val="32"/>
          <w:lang w:eastAsia="zh-CN"/>
        </w:rPr>
        <w:t>单位人员减少，人员工资、津补贴等人员经费较上年减少</w:t>
      </w:r>
      <w:r>
        <w:rPr>
          <w:rFonts w:ascii="仿宋_GB2312" w:eastAsia="仿宋_GB2312"/>
          <w:sz w:val="32"/>
          <w:szCs w:val="32"/>
          <w:lang w:eastAsia="zh-CN"/>
        </w:rPr>
        <w:t>。</w:t>
      </w:r>
    </w:p>
    <w:p w14:paraId="24DCB530"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21FAA42"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本年收入971.14万元，其中：财政拨款收入971.14万元,占100.00%；上级补助收入0.00万元,占0.00%；事业收入0.00万元，占0.00%；经营收入0.00万元,占0.00%；附属单位上缴收入0.00万元，占0.00%；其他收入0.00万元，占0.00%。</w:t>
      </w:r>
    </w:p>
    <w:p w14:paraId="53D38C2E"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5B59142"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本年支出971.14万元，其中：基本支出913.40万元，占94.05%；项目支出57.74万元，占5.95%；上缴上级支出0.00万元，占0.00%；经营支出0.00万元，占0.00%；对附属单位补助支出0.00万元，占0.00%。</w:t>
      </w:r>
    </w:p>
    <w:p w14:paraId="519274EE"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A9CB449"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2024年度财政拨款收入总计971.14万元，其中：年初财政拨款结转和结余0.00万元，本年财政拨款收入971.14万元。财政拨款支出总计971.14万元，其中：年末财政拨款结转和结余0.00万元，本年财政拨款支出971.14万元。</w:t>
      </w:r>
    </w:p>
    <w:p w14:paraId="68BD4EF3"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财政拨款收入支出总体与上年相比，减少110.01万元，下降10.18%，主要原因是：</w:t>
      </w:r>
      <w:r>
        <w:rPr>
          <w:rFonts w:ascii="仿宋_GB2312" w:eastAsia="仿宋_GB2312" w:hint="eastAsia"/>
          <w:sz w:val="32"/>
          <w:szCs w:val="32"/>
          <w:lang w:eastAsia="zh-CN"/>
        </w:rPr>
        <w:t>单位人员减少，人员工资、津补贴等人员经费较上年减少</w:t>
      </w:r>
      <w:r>
        <w:rPr>
          <w:rFonts w:ascii="仿宋_GB2312" w:eastAsia="仿宋_GB2312"/>
          <w:sz w:val="32"/>
          <w:szCs w:val="32"/>
          <w:lang w:eastAsia="zh-CN"/>
        </w:rPr>
        <w:t>。与年初预算相比，年初预算数1,024.75万元，决算数971.14万元，预决算差异率-5.23%，</w:t>
      </w:r>
      <w:r>
        <w:rPr>
          <w:rFonts w:ascii="仿宋_GB2312" w:eastAsia="仿宋_GB2312"/>
          <w:sz w:val="32"/>
          <w:szCs w:val="32"/>
          <w:lang w:eastAsia="zh-CN"/>
        </w:rPr>
        <w:lastRenderedPageBreak/>
        <w:t>主要原因是：</w:t>
      </w:r>
      <w:r>
        <w:rPr>
          <w:rFonts w:ascii="仿宋_GB2312" w:eastAsia="仿宋_GB2312" w:hint="eastAsia"/>
          <w:sz w:val="32"/>
          <w:szCs w:val="32"/>
          <w:lang w:eastAsia="zh-CN"/>
        </w:rPr>
        <w:t>单位人员减少，人员工资、津补贴等人员经费实际发放金额小于年初预算安排金额</w:t>
      </w:r>
      <w:r>
        <w:rPr>
          <w:rFonts w:ascii="仿宋_GB2312" w:eastAsia="仿宋_GB2312"/>
          <w:sz w:val="32"/>
          <w:szCs w:val="32"/>
          <w:lang w:eastAsia="zh-CN"/>
        </w:rPr>
        <w:t>。</w:t>
      </w:r>
    </w:p>
    <w:p w14:paraId="418AB8FD"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1E78D4B" w14:textId="77777777" w:rsidR="00507D2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2B241F62"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2024年度一般公共预算财政拨款支出971.14万元，占本年支出合计的100.00%。与上年相比，减少110.01万元，下降10.18%，主要原因是：</w:t>
      </w:r>
      <w:r>
        <w:rPr>
          <w:rFonts w:ascii="仿宋_GB2312" w:eastAsia="仿宋_GB2312" w:hint="eastAsia"/>
          <w:sz w:val="32"/>
          <w:szCs w:val="32"/>
          <w:lang w:eastAsia="zh-CN"/>
        </w:rPr>
        <w:t>单位人员减少，人员工资、津补贴等人员经费较上年减少</w:t>
      </w:r>
      <w:r>
        <w:rPr>
          <w:rFonts w:ascii="仿宋_GB2312" w:eastAsia="仿宋_GB2312"/>
          <w:sz w:val="32"/>
          <w:szCs w:val="32"/>
          <w:lang w:eastAsia="zh-CN"/>
        </w:rPr>
        <w:t>。与年初预算相比，年初预算数1,024.75万元，决算数971.14万元，预决算差异率-5.23%，主要原因是：</w:t>
      </w:r>
      <w:r>
        <w:rPr>
          <w:rFonts w:ascii="仿宋_GB2312" w:eastAsia="仿宋_GB2312" w:hint="eastAsia"/>
          <w:sz w:val="32"/>
          <w:szCs w:val="32"/>
          <w:lang w:eastAsia="zh-CN"/>
        </w:rPr>
        <w:t>单位人员减少，人员工资、津补贴等人员经费实际发放金额小于年初预算安排金额</w:t>
      </w:r>
      <w:r>
        <w:rPr>
          <w:rFonts w:ascii="仿宋_GB2312" w:eastAsia="仿宋_GB2312"/>
          <w:sz w:val="32"/>
          <w:szCs w:val="32"/>
          <w:lang w:eastAsia="zh-CN"/>
        </w:rPr>
        <w:t>。</w:t>
      </w:r>
    </w:p>
    <w:p w14:paraId="23D4C1BB" w14:textId="77777777" w:rsidR="00507D2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418E638"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一般公共服务支出（类）737.44万元，占75.94%。</w:t>
      </w:r>
    </w:p>
    <w:p w14:paraId="3A44D087"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社会保障和就业支出（类）159.88万元，占16.46%。</w:t>
      </w:r>
    </w:p>
    <w:p w14:paraId="7D00B13E"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住房保障支出（类）58.94万元，占6.07%。</w:t>
      </w:r>
    </w:p>
    <w:p w14:paraId="1E9C8E70"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其他支出（类）14.88万元，占1.53%。</w:t>
      </w:r>
    </w:p>
    <w:p w14:paraId="77111C5A" w14:textId="77777777" w:rsidR="00507D2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6799557"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1、一般公共服务支出（类）市场监督管理事务（款）行政运行（项）：支出决算数为398.33万元，比上年决算减少77.29万元，下降16.25%，主要原因是：</w:t>
      </w:r>
      <w:r>
        <w:rPr>
          <w:rFonts w:ascii="仿宋_GB2312" w:eastAsia="仿宋_GB2312" w:hint="eastAsia"/>
          <w:sz w:val="32"/>
          <w:szCs w:val="32"/>
          <w:lang w:eastAsia="zh-CN"/>
        </w:rPr>
        <w:t>单位行政人员减少，行政人员工资、津补贴等人员经费较上年减少</w:t>
      </w:r>
      <w:r>
        <w:rPr>
          <w:rFonts w:ascii="仿宋_GB2312" w:eastAsia="仿宋_GB2312"/>
          <w:sz w:val="32"/>
          <w:szCs w:val="32"/>
          <w:lang w:eastAsia="zh-CN"/>
        </w:rPr>
        <w:t>。</w:t>
      </w:r>
    </w:p>
    <w:p w14:paraId="61631321"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2、一般公共服务支出（类）市场监督管理事务（款）质量基础（项）：支出决算数为17.57万元，比上年决算增加14.57万元，增长485.67%，主要原因是：</w:t>
      </w:r>
      <w:r>
        <w:rPr>
          <w:rFonts w:ascii="仿宋_GB2312" w:eastAsia="仿宋_GB2312" w:hint="eastAsia"/>
          <w:sz w:val="32"/>
          <w:szCs w:val="32"/>
          <w:lang w:eastAsia="zh-CN"/>
        </w:rPr>
        <w:t>本年增加食品、药品</w:t>
      </w:r>
      <w:r>
        <w:rPr>
          <w:rFonts w:ascii="仿宋_GB2312" w:eastAsia="仿宋_GB2312"/>
          <w:sz w:val="32"/>
          <w:szCs w:val="32"/>
          <w:lang w:eastAsia="zh-CN"/>
        </w:rPr>
        <w:t>质量基础</w:t>
      </w:r>
      <w:r>
        <w:rPr>
          <w:rFonts w:ascii="仿宋_GB2312" w:eastAsia="仿宋_GB2312" w:hint="eastAsia"/>
          <w:sz w:val="32"/>
          <w:szCs w:val="32"/>
          <w:lang w:eastAsia="zh-CN"/>
        </w:rPr>
        <w:t>检查</w:t>
      </w:r>
      <w:r>
        <w:rPr>
          <w:rFonts w:ascii="仿宋_GB2312" w:eastAsia="仿宋_GB2312"/>
          <w:sz w:val="32"/>
          <w:szCs w:val="32"/>
          <w:lang w:eastAsia="zh-CN"/>
        </w:rPr>
        <w:t>资金。</w:t>
      </w:r>
    </w:p>
    <w:p w14:paraId="30E1C1BD"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3、一般公共服务支出（类）市场监督管理事务（款）药品事务（项）：支出决算数为4.80万元，比上年决算增加4.80万元，增长100.00%，主要原因是：</w:t>
      </w:r>
      <w:r>
        <w:rPr>
          <w:rFonts w:ascii="仿宋_GB2312" w:eastAsia="仿宋_GB2312" w:hint="eastAsia"/>
          <w:sz w:val="32"/>
          <w:szCs w:val="32"/>
          <w:lang w:eastAsia="zh-CN"/>
        </w:rPr>
        <w:t>单位科目调整，本年将药品质量监督管理资金从其他市场监督管理事务科目调整至本科目反映</w:t>
      </w:r>
      <w:r>
        <w:rPr>
          <w:rFonts w:ascii="仿宋_GB2312" w:eastAsia="仿宋_GB2312"/>
          <w:sz w:val="32"/>
          <w:szCs w:val="32"/>
          <w:lang w:eastAsia="zh-CN"/>
        </w:rPr>
        <w:t>。</w:t>
      </w:r>
    </w:p>
    <w:p w14:paraId="5FD246F3"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4、一般公共服务支出（类）市场监督管理事务（款）医疗器械事务（项）：支出决算数为1.30万元，比上年决算增加1.30万元，增长100.00%，主要原因是：</w:t>
      </w:r>
      <w:r>
        <w:rPr>
          <w:rFonts w:ascii="仿宋_GB2312" w:eastAsia="仿宋_GB2312" w:hint="eastAsia"/>
          <w:sz w:val="32"/>
          <w:szCs w:val="32"/>
          <w:lang w:eastAsia="zh-CN"/>
        </w:rPr>
        <w:t>单位科目调整，本年将医疗器械质量监督管理资金从其他市场监督管理事务科目调整至本科目反映</w:t>
      </w:r>
      <w:r>
        <w:rPr>
          <w:rFonts w:ascii="仿宋_GB2312" w:eastAsia="仿宋_GB2312"/>
          <w:sz w:val="32"/>
          <w:szCs w:val="32"/>
          <w:lang w:eastAsia="zh-CN"/>
        </w:rPr>
        <w:t>。</w:t>
      </w:r>
    </w:p>
    <w:p w14:paraId="20F8C992"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5、一般公共服务支出（类）市场监督管理事务（款）食品安全监管（项）：支出决算数为32.67万元，比上年决算增加18.86万元，增长136.57%，主要原因是：</w:t>
      </w:r>
      <w:r>
        <w:rPr>
          <w:rFonts w:ascii="仿宋_GB2312" w:eastAsia="仿宋_GB2312" w:hint="eastAsia"/>
          <w:sz w:val="32"/>
          <w:szCs w:val="32"/>
          <w:lang w:eastAsia="zh-CN"/>
        </w:rPr>
        <w:t>单位科目调整，本年将部分</w:t>
      </w:r>
      <w:r>
        <w:rPr>
          <w:rFonts w:ascii="仿宋_GB2312" w:eastAsia="仿宋_GB2312"/>
          <w:sz w:val="32"/>
          <w:szCs w:val="32"/>
          <w:lang w:eastAsia="zh-CN"/>
        </w:rPr>
        <w:t>食品安全</w:t>
      </w:r>
      <w:r>
        <w:rPr>
          <w:rFonts w:ascii="仿宋_GB2312" w:eastAsia="仿宋_GB2312" w:hint="eastAsia"/>
          <w:sz w:val="32"/>
          <w:szCs w:val="32"/>
          <w:lang w:eastAsia="zh-CN"/>
        </w:rPr>
        <w:t>监督管理资金从其他市场监督管理事务科目调整至本科目反映</w:t>
      </w:r>
      <w:r>
        <w:rPr>
          <w:rFonts w:ascii="仿宋_GB2312" w:eastAsia="仿宋_GB2312"/>
          <w:sz w:val="32"/>
          <w:szCs w:val="32"/>
          <w:lang w:eastAsia="zh-CN"/>
        </w:rPr>
        <w:t>。</w:t>
      </w:r>
    </w:p>
    <w:p w14:paraId="0359B218"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6、一般公共服务支出（类）市场监督管理事务（款）事业运行（项）：支出决算数为281.36万元，比上年决算增加10.32万元，增长3.81%，主要原因是：</w:t>
      </w:r>
      <w:r>
        <w:rPr>
          <w:rFonts w:ascii="仿宋_GB2312" w:eastAsia="仿宋_GB2312" w:hint="eastAsia"/>
          <w:sz w:val="32"/>
          <w:szCs w:val="32"/>
          <w:lang w:eastAsia="zh-CN"/>
        </w:rPr>
        <w:t>本年事业人员薪资调增，事业人员工资、津补贴等人员经费较上年增加</w:t>
      </w:r>
      <w:r>
        <w:rPr>
          <w:rFonts w:ascii="仿宋_GB2312" w:eastAsia="仿宋_GB2312"/>
          <w:sz w:val="32"/>
          <w:szCs w:val="32"/>
          <w:lang w:eastAsia="zh-CN"/>
        </w:rPr>
        <w:t>。</w:t>
      </w:r>
    </w:p>
    <w:p w14:paraId="23120435"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7、一般公共服务支出（类）市场监督管理事务（款）其他市场监督管理事务（项）：支出决算数为1.40万元，比上年决算减少12.30万元，下降89.78%，主要原因是：</w:t>
      </w:r>
      <w:r>
        <w:rPr>
          <w:rFonts w:ascii="仿宋_GB2312" w:eastAsia="仿宋_GB2312" w:hint="eastAsia"/>
          <w:sz w:val="32"/>
          <w:szCs w:val="32"/>
          <w:lang w:eastAsia="zh-CN"/>
        </w:rPr>
        <w:t>单位科目调整，本年将食品、医疗等市场监督管理资金调整至其他科目反映</w:t>
      </w:r>
      <w:r>
        <w:rPr>
          <w:rFonts w:ascii="仿宋_GB2312" w:eastAsia="仿宋_GB2312"/>
          <w:sz w:val="32"/>
          <w:szCs w:val="32"/>
          <w:lang w:eastAsia="zh-CN"/>
        </w:rPr>
        <w:t>。</w:t>
      </w:r>
    </w:p>
    <w:p w14:paraId="053835A8"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8、社会保障和就业支出（类）行政事业单位养老支出（款）行政单位离退休（项）：支出决算数为0.00万元，比上年决算减少9.75万元，下降100.00%，主要原因是：</w:t>
      </w:r>
      <w:r>
        <w:rPr>
          <w:rFonts w:ascii="仿宋_GB2312" w:eastAsia="仿宋_GB2312" w:hint="eastAsia"/>
          <w:sz w:val="32"/>
          <w:szCs w:val="32"/>
          <w:lang w:eastAsia="zh-CN"/>
        </w:rPr>
        <w:t>单位科目调整，本年将行政退休人员退休费调整</w:t>
      </w:r>
      <w:proofErr w:type="gramStart"/>
      <w:r>
        <w:rPr>
          <w:rFonts w:ascii="仿宋_GB2312" w:eastAsia="仿宋_GB2312" w:hint="eastAsia"/>
          <w:sz w:val="32"/>
          <w:szCs w:val="32"/>
          <w:lang w:eastAsia="zh-CN"/>
        </w:rPr>
        <w:t>至行政</w:t>
      </w:r>
      <w:proofErr w:type="gramEnd"/>
      <w:r>
        <w:rPr>
          <w:rFonts w:ascii="仿宋_GB2312" w:eastAsia="仿宋_GB2312" w:hint="eastAsia"/>
          <w:sz w:val="32"/>
          <w:szCs w:val="32"/>
          <w:lang w:eastAsia="zh-CN"/>
        </w:rPr>
        <w:t>运行科目反映</w:t>
      </w:r>
      <w:r>
        <w:rPr>
          <w:rFonts w:ascii="仿宋_GB2312" w:eastAsia="仿宋_GB2312"/>
          <w:sz w:val="32"/>
          <w:szCs w:val="32"/>
          <w:lang w:eastAsia="zh-CN"/>
        </w:rPr>
        <w:t>。</w:t>
      </w:r>
    </w:p>
    <w:p w14:paraId="586F1DAF"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9、社会保障和就业支出（类）行政事业单位养老支出（款）事业单位离退休（项）：支出决算数为0.00万元，比上年决算减少0.96万元，下降100.00%，主要原因是：</w:t>
      </w:r>
      <w:r>
        <w:rPr>
          <w:rFonts w:ascii="仿宋_GB2312" w:eastAsia="仿宋_GB2312" w:hint="eastAsia"/>
          <w:sz w:val="32"/>
          <w:szCs w:val="32"/>
          <w:lang w:eastAsia="zh-CN"/>
        </w:rPr>
        <w:t>单位科目调整，本年将事业退休人员退休费调整</w:t>
      </w:r>
      <w:proofErr w:type="gramStart"/>
      <w:r>
        <w:rPr>
          <w:rFonts w:ascii="仿宋_GB2312" w:eastAsia="仿宋_GB2312" w:hint="eastAsia"/>
          <w:sz w:val="32"/>
          <w:szCs w:val="32"/>
          <w:lang w:eastAsia="zh-CN"/>
        </w:rPr>
        <w:t>至事业</w:t>
      </w:r>
      <w:proofErr w:type="gramEnd"/>
      <w:r>
        <w:rPr>
          <w:rFonts w:ascii="仿宋_GB2312" w:eastAsia="仿宋_GB2312" w:hint="eastAsia"/>
          <w:sz w:val="32"/>
          <w:szCs w:val="32"/>
          <w:lang w:eastAsia="zh-CN"/>
        </w:rPr>
        <w:t>运行科目反映</w:t>
      </w:r>
      <w:r>
        <w:rPr>
          <w:rFonts w:ascii="仿宋_GB2312" w:eastAsia="仿宋_GB2312"/>
          <w:sz w:val="32"/>
          <w:szCs w:val="32"/>
          <w:lang w:eastAsia="zh-CN"/>
        </w:rPr>
        <w:t>。</w:t>
      </w:r>
    </w:p>
    <w:p w14:paraId="39D2B07F"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w:t>
      </w:r>
      <w:r>
        <w:rPr>
          <w:rFonts w:ascii="仿宋_GB2312" w:eastAsia="仿宋_GB2312"/>
          <w:sz w:val="32"/>
          <w:szCs w:val="32"/>
          <w:lang w:eastAsia="zh-CN"/>
        </w:rPr>
        <w:lastRenderedPageBreak/>
        <w:t>数为80.42万元，比上年决算增加2.21万元，增长2.83%，主要原因是：</w:t>
      </w:r>
      <w:r>
        <w:rPr>
          <w:rFonts w:ascii="仿宋_GB2312" w:eastAsia="仿宋_GB2312" w:hint="eastAsia"/>
          <w:sz w:val="32"/>
          <w:szCs w:val="32"/>
          <w:lang w:eastAsia="zh-CN"/>
        </w:rPr>
        <w:t>社保缴费基数调增，人员养老保险缴费增加。</w:t>
      </w:r>
    </w:p>
    <w:p w14:paraId="62C9BD85"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11、社会保障和就业支出（类）行政事业单位养老支出（款）机关事业单位职业年金缴费支出（项）：支出决算数为78.31万元，比上年决算增加51.62万元，增长193.41%，主要原因是：</w:t>
      </w:r>
      <w:r>
        <w:rPr>
          <w:rFonts w:ascii="仿宋_GB2312" w:eastAsia="仿宋_GB2312" w:hint="eastAsia"/>
          <w:sz w:val="32"/>
          <w:szCs w:val="32"/>
          <w:lang w:eastAsia="zh-CN"/>
        </w:rPr>
        <w:t>单位退休人员增加，退休人员职业年金缴费增加。</w:t>
      </w:r>
    </w:p>
    <w:p w14:paraId="707878CC"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12、社会保障和就业支出（类）抚恤（款）死亡抚恤（项）：支出决算数为1.15万元，比上年决算减少107.12万元，下降98.94%，主要原因是：</w:t>
      </w:r>
      <w:r>
        <w:rPr>
          <w:rFonts w:ascii="仿宋_GB2312" w:eastAsia="仿宋_GB2312" w:hint="eastAsia"/>
          <w:sz w:val="32"/>
          <w:szCs w:val="32"/>
          <w:lang w:eastAsia="zh-CN"/>
        </w:rPr>
        <w:t>本年单位无新增去世人员，单位发放死亡抚恤资金较上年减少</w:t>
      </w:r>
      <w:r>
        <w:rPr>
          <w:rFonts w:ascii="仿宋_GB2312" w:eastAsia="仿宋_GB2312"/>
          <w:sz w:val="32"/>
          <w:szCs w:val="32"/>
          <w:lang w:eastAsia="zh-CN"/>
        </w:rPr>
        <w:t>。</w:t>
      </w:r>
    </w:p>
    <w:p w14:paraId="58BF1003"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13、住房保障支出（类）住房改革支出（款）住房公积金（项）：支出决算数为58.94万元，比上年决算减少2.49万元，下降4.05%，主要原因是：</w:t>
      </w:r>
      <w:r>
        <w:rPr>
          <w:rFonts w:ascii="仿宋_GB2312" w:eastAsia="仿宋_GB2312" w:hint="eastAsia"/>
          <w:sz w:val="32"/>
          <w:szCs w:val="32"/>
          <w:lang w:eastAsia="zh-CN"/>
        </w:rPr>
        <w:t>单位人员减少，人员</w:t>
      </w:r>
      <w:r>
        <w:rPr>
          <w:rFonts w:ascii="仿宋_GB2312" w:eastAsia="仿宋_GB2312"/>
          <w:sz w:val="32"/>
          <w:szCs w:val="32"/>
          <w:lang w:eastAsia="zh-CN"/>
        </w:rPr>
        <w:t>住房公积金</w:t>
      </w:r>
      <w:r>
        <w:rPr>
          <w:rFonts w:ascii="仿宋_GB2312" w:eastAsia="仿宋_GB2312" w:hint="eastAsia"/>
          <w:sz w:val="32"/>
          <w:szCs w:val="32"/>
          <w:lang w:eastAsia="zh-CN"/>
        </w:rPr>
        <w:t>缴费减少</w:t>
      </w:r>
      <w:r>
        <w:rPr>
          <w:rFonts w:ascii="仿宋_GB2312" w:eastAsia="仿宋_GB2312"/>
          <w:sz w:val="32"/>
          <w:szCs w:val="32"/>
          <w:lang w:eastAsia="zh-CN"/>
        </w:rPr>
        <w:t>。</w:t>
      </w:r>
    </w:p>
    <w:p w14:paraId="34D61E21"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14、其他支出（类）其他支出（款）其他支出（项）：支出决算数为14.88万元，比上年决算减少3.78万元，下降20.26%，主要原因是：</w:t>
      </w:r>
      <w:r>
        <w:rPr>
          <w:rFonts w:ascii="仿宋_GB2312" w:eastAsia="仿宋_GB2312" w:hint="eastAsia"/>
          <w:sz w:val="32"/>
          <w:szCs w:val="32"/>
          <w:lang w:eastAsia="zh-CN"/>
        </w:rPr>
        <w:t>本年单位减少为民办实事工作经费</w:t>
      </w:r>
      <w:r>
        <w:rPr>
          <w:rFonts w:ascii="仿宋_GB2312" w:eastAsia="仿宋_GB2312"/>
          <w:sz w:val="32"/>
          <w:szCs w:val="32"/>
          <w:lang w:eastAsia="zh-CN"/>
        </w:rPr>
        <w:t>。</w:t>
      </w:r>
    </w:p>
    <w:p w14:paraId="154EA611"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54597FF"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913.40万元，其中：人员经费864.97万元，包括：基本工资、津贴补贴、奖金、机关事业单位基本养老保险缴费、职业年金缴费、职工基本医疗保险缴费、公务员医疗补助缴费、其他社会保障缴费、住房公积金、退休费、生活补助和奖励金。</w:t>
      </w:r>
    </w:p>
    <w:p w14:paraId="59E4BF7E"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公用经费48.43万元，包括：办公费、水费、电费、邮电费、取暖费、差旅费、劳务费、工会经费和公务用车运行维护费。</w:t>
      </w:r>
    </w:p>
    <w:p w14:paraId="379324E8"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2FBB3D9"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D2F3DF6"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868CDB4"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37A822DF"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84E8C7E"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经费支出7.17万元，与上年相比无变化，主要原因是：</w:t>
      </w:r>
      <w:r>
        <w:rPr>
          <w:rFonts w:ascii="仿宋_GB2312" w:eastAsia="仿宋_GB2312" w:hint="eastAsia"/>
          <w:sz w:val="32"/>
          <w:szCs w:val="32"/>
          <w:lang w:eastAsia="zh-CN"/>
        </w:rPr>
        <w:t>本年单位</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w:t>
      </w:r>
      <w:r>
        <w:rPr>
          <w:rFonts w:ascii="仿宋_GB2312" w:eastAsia="仿宋_GB2312" w:hint="eastAsia"/>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0" w:name="_Hlk207143847"/>
      <w:r>
        <w:rPr>
          <w:rFonts w:ascii="仿宋_GB2312" w:eastAsia="仿宋_GB2312" w:hint="eastAsia"/>
          <w:sz w:val="32"/>
          <w:szCs w:val="32"/>
          <w:lang w:eastAsia="zh-CN"/>
        </w:rPr>
        <w:t>我</w:t>
      </w:r>
      <w:bookmarkStart w:id="1" w:name="_Hlk209026967"/>
      <w:r>
        <w:rPr>
          <w:rFonts w:ascii="仿宋_GB2312" w:eastAsia="仿宋_GB2312" w:hint="eastAsia"/>
          <w:sz w:val="32"/>
          <w:szCs w:val="32"/>
          <w:lang w:eastAsia="zh-CN"/>
        </w:rPr>
        <w:t>单位上年度与本年度均无此项经费</w:t>
      </w:r>
      <w:bookmarkEnd w:id="0"/>
      <w:bookmarkEnd w:id="1"/>
      <w:r>
        <w:rPr>
          <w:rFonts w:ascii="仿宋_GB2312" w:eastAsia="仿宋_GB2312"/>
          <w:sz w:val="32"/>
          <w:szCs w:val="32"/>
          <w:lang w:eastAsia="zh-CN"/>
        </w:rPr>
        <w:t>；公务用车购置及运行维护费支出7.17万元，占100.00%，与上年相比无变化，主要原因是：</w:t>
      </w:r>
      <w:r>
        <w:rPr>
          <w:rFonts w:ascii="仿宋_GB2312" w:eastAsia="仿宋_GB2312" w:hint="eastAsia"/>
          <w:sz w:val="32"/>
          <w:szCs w:val="32"/>
          <w:lang w:eastAsia="zh-CN"/>
        </w:rPr>
        <w:t>本年单位</w:t>
      </w:r>
      <w:r>
        <w:rPr>
          <w:rFonts w:ascii="仿宋_GB2312" w:eastAsia="仿宋_GB2312"/>
          <w:sz w:val="32"/>
          <w:szCs w:val="32"/>
          <w:lang w:eastAsia="zh-CN"/>
        </w:rPr>
        <w:t>公务用车购置及运行维护费</w:t>
      </w:r>
      <w:r>
        <w:rPr>
          <w:rFonts w:ascii="仿宋_GB2312" w:eastAsia="仿宋_GB2312" w:hint="eastAsia"/>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870A28E" w14:textId="77777777" w:rsidR="00507D2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418E0D3"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2"/>
      <w:r>
        <w:rPr>
          <w:rFonts w:ascii="仿宋_GB2312" w:eastAsia="仿宋_GB2312"/>
          <w:sz w:val="32"/>
          <w:szCs w:val="32"/>
          <w:lang w:eastAsia="zh-CN"/>
        </w:rPr>
        <w:t>。单位全年安排的因公出国（境）团组0个，因公出国（境）0人次。</w:t>
      </w:r>
    </w:p>
    <w:p w14:paraId="2975E42F" w14:textId="1D70404E"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公务用车购置及运行维护费7.17万元，其中：公务用车购置费0.00万元，公务用车运行维护费7.17万元。公务用车运行维护费开支内容包括</w:t>
      </w:r>
      <w:bookmarkStart w:id="3" w:name="_Hlk207793066"/>
      <w:r>
        <w:rPr>
          <w:rFonts w:ascii="仿宋_GB2312" w:eastAsia="仿宋_GB2312" w:hint="eastAsia"/>
          <w:sz w:val="32"/>
          <w:szCs w:val="32"/>
          <w:lang w:eastAsia="zh-CN"/>
        </w:rPr>
        <w:t>公务用车维修维护费、燃油费、保险费、过路费等</w:t>
      </w:r>
      <w:bookmarkEnd w:id="3"/>
      <w:r>
        <w:rPr>
          <w:rFonts w:ascii="仿宋_GB2312" w:eastAsia="仿宋_GB2312"/>
          <w:sz w:val="32"/>
          <w:szCs w:val="32"/>
          <w:lang w:eastAsia="zh-CN"/>
        </w:rPr>
        <w:t>。公务用车购置数0辆，公务用车保有量2辆。国有资产占用情况中固定资产车辆6辆，与公务用车保有量差异原因是：</w:t>
      </w:r>
      <w:bookmarkStart w:id="4" w:name="_Hlk208411546"/>
      <w:r>
        <w:rPr>
          <w:rFonts w:ascii="仿宋_GB2312" w:eastAsia="仿宋_GB2312" w:hint="eastAsia"/>
          <w:sz w:val="32"/>
          <w:szCs w:val="32"/>
          <w:lang w:eastAsia="zh-CN"/>
        </w:rPr>
        <w:t>差异车辆为一般业务用车4辆，</w:t>
      </w:r>
      <w:bookmarkEnd w:id="4"/>
      <w:r w:rsidR="00861386" w:rsidRPr="00861386">
        <w:rPr>
          <w:rFonts w:ascii="仿宋_GB2312" w:eastAsia="仿宋_GB2312" w:hint="eastAsia"/>
          <w:sz w:val="32"/>
          <w:szCs w:val="32"/>
          <w:lang w:eastAsia="zh-CN"/>
        </w:rPr>
        <w:t>车辆费用未使用财政拨款公务用车运行维护费支付，业务用车运行费用使用单位资金列支</w:t>
      </w:r>
      <w:r>
        <w:rPr>
          <w:rFonts w:ascii="仿宋_GB2312" w:eastAsia="仿宋_GB2312"/>
          <w:sz w:val="32"/>
          <w:szCs w:val="32"/>
          <w:lang w:eastAsia="zh-CN"/>
        </w:rPr>
        <w:t>。</w:t>
      </w:r>
    </w:p>
    <w:p w14:paraId="2ABF9746"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5" w:name="_Hlk207140433"/>
      <w:r>
        <w:rPr>
          <w:rFonts w:ascii="仿宋_GB2312" w:eastAsia="仿宋_GB2312" w:hint="eastAsia"/>
          <w:sz w:val="32"/>
          <w:szCs w:val="32"/>
          <w:lang w:eastAsia="zh-CN"/>
        </w:rPr>
        <w:t>单</w:t>
      </w:r>
      <w:bookmarkStart w:id="6"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5"/>
      <w:bookmarkEnd w:id="6"/>
      <w:r>
        <w:rPr>
          <w:rFonts w:ascii="仿宋_GB2312" w:eastAsia="仿宋_GB2312"/>
          <w:sz w:val="32"/>
          <w:szCs w:val="32"/>
          <w:lang w:eastAsia="zh-CN"/>
        </w:rPr>
        <w:t>。单位全年安排的国内公务接待0批次，0人次。</w:t>
      </w:r>
    </w:p>
    <w:p w14:paraId="131B14C0"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经费支出全年预算数7.17万元，决算数7.17万元，预决算差异率0.00%，主要原因是：</w:t>
      </w:r>
      <w:bookmarkStart w:id="7" w:name="_Hlk207142995"/>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w:t>
      </w:r>
      <w:r>
        <w:rPr>
          <w:rFonts w:ascii="仿宋_GB2312" w:eastAsia="仿宋_GB2312"/>
          <w:sz w:val="32"/>
          <w:szCs w:val="32"/>
          <w:lang w:eastAsia="zh-CN"/>
        </w:rPr>
        <w:lastRenderedPageBreak/>
        <w:t>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；公务用车运行维护费全年预算数7.17万元，决算数7.17万元，预决算差异率0.00%，主要原因是：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0F7C5B2"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C67FD22" w14:textId="77777777" w:rsidR="00507D2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C66AF10"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2024年度木垒哈萨克自治县市场监督管理局单位（行政单位和参照公务员法管理事业单位）机关运行经费支出48.43万元，比上年减少43.79万元，下降47.48%，主要原因是：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办公费、水费、电费、工会经费</w:t>
      </w:r>
      <w:r>
        <w:rPr>
          <w:rFonts w:ascii="仿宋_GB2312" w:eastAsia="仿宋_GB2312" w:hint="eastAsia"/>
          <w:sz w:val="32"/>
          <w:szCs w:val="32"/>
          <w:lang w:eastAsia="zh-CN"/>
        </w:rPr>
        <w:t>等较上年减少</w:t>
      </w:r>
      <w:r>
        <w:rPr>
          <w:rFonts w:ascii="仿宋_GB2312" w:eastAsia="仿宋_GB2312"/>
          <w:sz w:val="32"/>
          <w:szCs w:val="32"/>
          <w:lang w:eastAsia="zh-CN"/>
        </w:rPr>
        <w:t>。</w:t>
      </w:r>
    </w:p>
    <w:p w14:paraId="5A56A4A5" w14:textId="77777777" w:rsidR="00507D2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8F731BF"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2024年度政府采购支出总额33.22万元，其中：政府采购货物支出30.49万元、政府采购工程支出0.00万元、政府采购服务支出2.72万元。</w:t>
      </w:r>
    </w:p>
    <w:p w14:paraId="4E3C4421"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授予中小企业合同金额33.22万元，占政府采购支出总额的100.00%，其中：授予小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合同金额24.02万元，占政府采购支出总额的72.31%。</w:t>
      </w:r>
    </w:p>
    <w:p w14:paraId="790E745C" w14:textId="77777777" w:rsidR="00507D2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3A92ED7A"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截至2024年12月31日，房屋1,939.21平方米，价值</w:t>
      </w:r>
      <w:proofErr w:type="gramStart"/>
      <w:r>
        <w:rPr>
          <w:rFonts w:ascii="仿宋_GB2312" w:eastAsia="仿宋_GB2312"/>
          <w:sz w:val="32"/>
          <w:szCs w:val="32"/>
        </w:rPr>
        <w:t>273.26万元。</w:t>
      </w:r>
      <w:r>
        <w:rPr>
          <w:rFonts w:ascii="仿宋_GB2312" w:eastAsia="仿宋_GB2312"/>
          <w:sz w:val="32"/>
          <w:szCs w:val="32"/>
          <w:lang w:eastAsia="zh-CN"/>
        </w:rPr>
        <w:t>车辆</w:t>
      </w:r>
      <w:proofErr w:type="gramEnd"/>
      <w:r>
        <w:rPr>
          <w:rFonts w:ascii="仿宋_GB2312" w:eastAsia="仿宋_GB2312"/>
          <w:sz w:val="32"/>
          <w:szCs w:val="32"/>
          <w:lang w:eastAsia="zh-CN"/>
        </w:rPr>
        <w:t>6辆，价值195.14万元，其中：副部（省）级及以上领导用车0辆、主要负责人用车0辆、机要通信用车0辆、应急保障用车0辆、执法执勤用车4辆、特种专业技术用车0辆、离退休干部服务用车0辆、其他用车2辆，其他用车主要是：</w:t>
      </w:r>
      <w:proofErr w:type="gramStart"/>
      <w:r>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31AD2522"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5A764B96"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Pr>
          <w:rFonts w:ascii="仿宋_GB2312" w:eastAsia="仿宋_GB2312" w:hint="eastAsia"/>
          <w:sz w:val="32"/>
          <w:szCs w:val="32"/>
          <w:lang w:eastAsia="zh-CN"/>
        </w:rPr>
        <w:t>971.14</w:t>
      </w:r>
      <w:r>
        <w:rPr>
          <w:rFonts w:ascii="仿宋_GB2312" w:eastAsia="仿宋_GB2312"/>
          <w:sz w:val="32"/>
          <w:szCs w:val="32"/>
          <w:lang w:eastAsia="zh-CN"/>
        </w:rPr>
        <w:t>万元，实际执行总额</w:t>
      </w:r>
      <w:r>
        <w:rPr>
          <w:rFonts w:ascii="仿宋_GB2312" w:eastAsia="仿宋_GB2312" w:hint="eastAsia"/>
          <w:sz w:val="32"/>
          <w:szCs w:val="32"/>
          <w:lang w:eastAsia="zh-CN"/>
        </w:rPr>
        <w:t>971.14</w:t>
      </w:r>
      <w:r>
        <w:rPr>
          <w:rFonts w:ascii="仿宋_GB2312" w:eastAsia="仿宋_GB2312"/>
          <w:sz w:val="32"/>
          <w:szCs w:val="32"/>
          <w:lang w:eastAsia="zh-CN"/>
        </w:rPr>
        <w:t>万元；预算绩效评价项目1个，全年预算数57.74万元，全年执行数57.74万元。预算绩效管理取得的成效：一是进一步加强财政支出项目绩效管理，切实增强资金使用单位的支出责任和效率意识，优化配置资源，提高财政资金使用效率；二是明确了监控重点和监控内容，为进一步强化预算绩效管理理念，提高预算资金的使用效益，优化工作方式方法、强化绩效监控质量。发现的问题及原因：一是绩效业</w:t>
      </w:r>
      <w:r>
        <w:rPr>
          <w:rFonts w:ascii="仿宋_GB2312" w:eastAsia="仿宋_GB2312" w:hint="eastAsia"/>
          <w:sz w:val="32"/>
          <w:szCs w:val="32"/>
          <w:lang w:eastAsia="zh-CN"/>
        </w:rPr>
        <w:t>务能</w:t>
      </w:r>
      <w:r>
        <w:rPr>
          <w:rFonts w:ascii="仿宋_GB2312" w:eastAsia="仿宋_GB2312"/>
          <w:sz w:val="32"/>
          <w:szCs w:val="32"/>
          <w:lang w:eastAsia="zh-CN"/>
        </w:rPr>
        <w:t>力较为薄弱的问题还依然存在。没有设置专门的预算绩效管理部门，只是由财务科负责，人员数量较少，专业能力较弱，现有工作人员的业务水平还不能满足绩效管理工作要求，业务素质急需提高。二是绩效监控质量有待提高。对于印证资料的上传，没有明确的目标，只是按要求完成任务。下一步改进措施：一是发挥各部门在预算绩效监控中的主体作用。建立部门预算责任制度，强化部门的预算编制和执行主体责任，形成</w:t>
      </w:r>
      <w:r>
        <w:rPr>
          <w:rFonts w:ascii="仿宋_GB2312" w:eastAsia="仿宋_GB2312"/>
          <w:sz w:val="32"/>
          <w:szCs w:val="32"/>
          <w:lang w:eastAsia="zh-CN"/>
        </w:rPr>
        <w:t>“</w:t>
      </w:r>
      <w:r>
        <w:rPr>
          <w:rFonts w:ascii="仿宋_GB2312" w:eastAsia="仿宋_GB2312"/>
          <w:sz w:val="32"/>
          <w:szCs w:val="32"/>
          <w:lang w:eastAsia="zh-CN"/>
        </w:rPr>
        <w:t>谁干事谁花钱、谁花钱谁担责</w:t>
      </w:r>
      <w:r>
        <w:rPr>
          <w:rFonts w:ascii="仿宋_GB2312" w:eastAsia="仿宋_GB2312"/>
          <w:sz w:val="32"/>
          <w:szCs w:val="32"/>
          <w:lang w:eastAsia="zh-CN"/>
        </w:rPr>
        <w:t>”</w:t>
      </w:r>
      <w:r>
        <w:rPr>
          <w:rFonts w:ascii="仿宋_GB2312" w:eastAsia="仿宋_GB2312"/>
          <w:sz w:val="32"/>
          <w:szCs w:val="32"/>
          <w:lang w:eastAsia="zh-CN"/>
        </w:rPr>
        <w:t>的制度，从预算编制到执行，执行到监控，相关部门都要切实负起责任。二是加强业务培训。加大预算绩效监控基础理论和实务操作统一培训力度，对各预算资金使用部门进行辅导和培训，加强理论研究，对绩效评价的范围、方法、技术手段进行探索和研究，形成理论和实践互为促进的良好局面。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073EA937" w14:textId="77777777" w:rsidR="00507D25" w:rsidRDefault="00507D25">
      <w:pPr>
        <w:rPr>
          <w:rFonts w:ascii="宋体" w:eastAsia="宋体" w:hAnsi="宋体" w:cs="宋体" w:hint="eastAsia"/>
          <w:b/>
          <w:bCs/>
          <w:sz w:val="18"/>
          <w:szCs w:val="18"/>
          <w:lang w:eastAsia="zh-CN"/>
        </w:rPr>
      </w:pPr>
      <w:bookmarkStart w:id="8" w:name="_Hlk201836110"/>
    </w:p>
    <w:p w14:paraId="09EE4FCB" w14:textId="77777777" w:rsidR="00507D25"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1677C3B0" w14:textId="77777777" w:rsidR="00507D2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507D25" w14:paraId="6378A8A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B9AFF79"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544771D7" w14:textId="77777777" w:rsidR="00507D25"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木垒哈萨克自治县市场监督管理局</w:t>
            </w:r>
          </w:p>
        </w:tc>
        <w:tc>
          <w:tcPr>
            <w:tcW w:w="284" w:type="dxa"/>
            <w:tcBorders>
              <w:top w:val="nil"/>
              <w:left w:val="nil"/>
              <w:bottom w:val="nil"/>
              <w:right w:val="nil"/>
            </w:tcBorders>
            <w:noWrap/>
            <w:vAlign w:val="center"/>
          </w:tcPr>
          <w:p w14:paraId="53E71760" w14:textId="77777777" w:rsidR="00507D25" w:rsidRDefault="00507D25">
            <w:pPr>
              <w:rPr>
                <w:rFonts w:ascii="宋体" w:eastAsia="宋体" w:hAnsi="宋体" w:cs="宋体" w:hint="eastAsia"/>
                <w:b/>
                <w:bCs/>
                <w:sz w:val="18"/>
                <w:szCs w:val="18"/>
                <w:lang w:eastAsia="zh-CN"/>
              </w:rPr>
            </w:pPr>
          </w:p>
        </w:tc>
      </w:tr>
      <w:tr w:rsidR="00507D25" w14:paraId="6089C9B7"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6EABBED"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w:t>
            </w:r>
            <w:r>
              <w:rPr>
                <w:rFonts w:ascii="宋体" w:eastAsia="宋体" w:hAnsi="宋体" w:cs="宋体" w:hint="eastAsia"/>
                <w:b/>
                <w:bCs/>
                <w:sz w:val="18"/>
                <w:szCs w:val="18"/>
              </w:rPr>
              <w:lastRenderedPageBreak/>
              <w:t>（万元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163841DA"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资金来源</w:t>
            </w:r>
            <w:proofErr w:type="spellEnd"/>
          </w:p>
        </w:tc>
        <w:tc>
          <w:tcPr>
            <w:tcW w:w="1418" w:type="dxa"/>
            <w:tcBorders>
              <w:top w:val="nil"/>
              <w:left w:val="nil"/>
              <w:bottom w:val="single" w:sz="4" w:space="0" w:color="auto"/>
              <w:right w:val="single" w:sz="4" w:space="0" w:color="auto"/>
            </w:tcBorders>
            <w:vAlign w:val="center"/>
          </w:tcPr>
          <w:p w14:paraId="0742F801"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2F30ED7F"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313DE48"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C432C07"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7FCC10B"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26868BD4"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12AF0CC6" w14:textId="77777777" w:rsidR="00507D25" w:rsidRDefault="00507D25">
            <w:pPr>
              <w:jc w:val="center"/>
              <w:rPr>
                <w:rFonts w:ascii="宋体" w:eastAsia="宋体" w:hAnsi="宋体" w:cs="宋体" w:hint="eastAsia"/>
                <w:b/>
                <w:bCs/>
                <w:sz w:val="18"/>
                <w:szCs w:val="18"/>
              </w:rPr>
            </w:pPr>
          </w:p>
        </w:tc>
      </w:tr>
      <w:tr w:rsidR="00507D25" w14:paraId="0BE244EF"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10C5DC1" w14:textId="77777777" w:rsidR="00507D25" w:rsidRDefault="00507D2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2757AA5"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FEEFB5D"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E2DD629"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2F7D9F4A"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1549CCC"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60FF974"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DE1AB96"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58073AB" w14:textId="77777777" w:rsidR="00507D25" w:rsidRDefault="00507D25">
            <w:pPr>
              <w:jc w:val="center"/>
              <w:rPr>
                <w:rFonts w:ascii="宋体" w:eastAsia="宋体" w:hAnsi="宋体" w:cs="宋体" w:hint="eastAsia"/>
                <w:b/>
                <w:bCs/>
                <w:sz w:val="18"/>
                <w:szCs w:val="18"/>
              </w:rPr>
            </w:pPr>
          </w:p>
        </w:tc>
      </w:tr>
      <w:tr w:rsidR="00507D25" w14:paraId="23AD4E7B"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27B4830" w14:textId="77777777" w:rsidR="00507D25" w:rsidRDefault="00507D2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E8D183A"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5E74B28"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1,024.75</w:t>
            </w:r>
          </w:p>
        </w:tc>
        <w:tc>
          <w:tcPr>
            <w:tcW w:w="1242" w:type="dxa"/>
            <w:tcBorders>
              <w:top w:val="nil"/>
              <w:left w:val="nil"/>
              <w:bottom w:val="single" w:sz="4" w:space="0" w:color="auto"/>
              <w:right w:val="single" w:sz="4" w:space="0" w:color="auto"/>
            </w:tcBorders>
            <w:vAlign w:val="center"/>
          </w:tcPr>
          <w:p w14:paraId="653AFF17"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971.14</w:t>
            </w:r>
          </w:p>
        </w:tc>
        <w:tc>
          <w:tcPr>
            <w:tcW w:w="1417" w:type="dxa"/>
            <w:tcBorders>
              <w:top w:val="nil"/>
              <w:left w:val="nil"/>
              <w:bottom w:val="single" w:sz="4" w:space="0" w:color="auto"/>
              <w:right w:val="single" w:sz="4" w:space="0" w:color="auto"/>
            </w:tcBorders>
            <w:vAlign w:val="center"/>
          </w:tcPr>
          <w:p w14:paraId="23591316"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971.14</w:t>
            </w:r>
          </w:p>
        </w:tc>
        <w:tc>
          <w:tcPr>
            <w:tcW w:w="1134" w:type="dxa"/>
            <w:tcBorders>
              <w:top w:val="nil"/>
              <w:left w:val="nil"/>
              <w:bottom w:val="single" w:sz="4" w:space="0" w:color="auto"/>
              <w:right w:val="single" w:sz="4" w:space="0" w:color="auto"/>
            </w:tcBorders>
            <w:vAlign w:val="center"/>
          </w:tcPr>
          <w:p w14:paraId="2B3E04E4" w14:textId="77777777" w:rsidR="00507D2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54E66C3" w14:textId="77777777" w:rsidR="00507D2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BC908B4" w14:textId="77777777" w:rsidR="00507D2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A5FAE44" w14:textId="77777777" w:rsidR="00507D25" w:rsidRDefault="00507D25">
            <w:pPr>
              <w:jc w:val="center"/>
              <w:rPr>
                <w:rFonts w:ascii="宋体" w:eastAsia="宋体" w:hAnsi="宋体" w:cs="宋体" w:hint="eastAsia"/>
                <w:sz w:val="18"/>
                <w:szCs w:val="18"/>
              </w:rPr>
            </w:pPr>
          </w:p>
        </w:tc>
      </w:tr>
      <w:tr w:rsidR="00507D25" w14:paraId="6633A2E5"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AA88E1D" w14:textId="77777777" w:rsidR="00507D25" w:rsidRDefault="00507D2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F60C8AD"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EFF5C07"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15.00</w:t>
            </w:r>
          </w:p>
        </w:tc>
        <w:tc>
          <w:tcPr>
            <w:tcW w:w="1242" w:type="dxa"/>
            <w:tcBorders>
              <w:top w:val="nil"/>
              <w:left w:val="nil"/>
              <w:bottom w:val="single" w:sz="4" w:space="0" w:color="auto"/>
              <w:right w:val="single" w:sz="4" w:space="0" w:color="auto"/>
            </w:tcBorders>
            <w:vAlign w:val="center"/>
          </w:tcPr>
          <w:p w14:paraId="257A67D0"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3ED665C"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57CC26C" w14:textId="77777777" w:rsidR="00507D2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E3B6B66" w14:textId="77777777" w:rsidR="00507D2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893EA72" w14:textId="77777777" w:rsidR="00507D2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D95C858" w14:textId="77777777" w:rsidR="00507D25" w:rsidRDefault="00507D25">
            <w:pPr>
              <w:jc w:val="center"/>
              <w:rPr>
                <w:rFonts w:ascii="宋体" w:eastAsia="宋体" w:hAnsi="宋体" w:cs="宋体" w:hint="eastAsia"/>
                <w:sz w:val="18"/>
                <w:szCs w:val="18"/>
              </w:rPr>
            </w:pPr>
          </w:p>
        </w:tc>
      </w:tr>
      <w:tr w:rsidR="00507D25" w14:paraId="6C9C858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5FD1D9B" w14:textId="77777777" w:rsidR="00507D25" w:rsidRDefault="00507D2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A65AB29"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964144A"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1,039.75</w:t>
            </w:r>
          </w:p>
        </w:tc>
        <w:tc>
          <w:tcPr>
            <w:tcW w:w="1242" w:type="dxa"/>
            <w:tcBorders>
              <w:top w:val="nil"/>
              <w:left w:val="nil"/>
              <w:bottom w:val="single" w:sz="4" w:space="0" w:color="auto"/>
              <w:right w:val="single" w:sz="4" w:space="0" w:color="auto"/>
            </w:tcBorders>
            <w:vAlign w:val="center"/>
          </w:tcPr>
          <w:p w14:paraId="3F6B5744"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971.14</w:t>
            </w:r>
          </w:p>
        </w:tc>
        <w:tc>
          <w:tcPr>
            <w:tcW w:w="1417" w:type="dxa"/>
            <w:tcBorders>
              <w:top w:val="nil"/>
              <w:left w:val="nil"/>
              <w:bottom w:val="single" w:sz="4" w:space="0" w:color="auto"/>
              <w:right w:val="single" w:sz="4" w:space="0" w:color="auto"/>
            </w:tcBorders>
            <w:vAlign w:val="center"/>
          </w:tcPr>
          <w:p w14:paraId="13FF9343"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971.14</w:t>
            </w:r>
          </w:p>
        </w:tc>
        <w:tc>
          <w:tcPr>
            <w:tcW w:w="1134" w:type="dxa"/>
            <w:tcBorders>
              <w:top w:val="nil"/>
              <w:left w:val="nil"/>
              <w:bottom w:val="single" w:sz="4" w:space="0" w:color="auto"/>
              <w:right w:val="single" w:sz="4" w:space="0" w:color="auto"/>
            </w:tcBorders>
            <w:vAlign w:val="center"/>
          </w:tcPr>
          <w:p w14:paraId="4EC136B9"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55D38B0"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4549DD7"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7D381C24" w14:textId="77777777" w:rsidR="00507D25" w:rsidRDefault="00507D25">
            <w:pPr>
              <w:jc w:val="center"/>
              <w:rPr>
                <w:rFonts w:ascii="宋体" w:eastAsia="宋体" w:hAnsi="宋体" w:cs="宋体" w:hint="eastAsia"/>
                <w:sz w:val="18"/>
                <w:szCs w:val="18"/>
              </w:rPr>
            </w:pPr>
          </w:p>
        </w:tc>
      </w:tr>
      <w:tr w:rsidR="00507D25" w14:paraId="15C64B4B"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BBAFD48"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5F939563"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3BD6D5D3"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BD5D7D8" w14:textId="77777777" w:rsidR="00507D25" w:rsidRDefault="00507D25">
            <w:pPr>
              <w:rPr>
                <w:rFonts w:ascii="宋体" w:eastAsia="宋体" w:hAnsi="宋体" w:cs="宋体" w:hint="eastAsia"/>
                <w:b/>
                <w:bCs/>
                <w:sz w:val="18"/>
                <w:szCs w:val="18"/>
              </w:rPr>
            </w:pPr>
          </w:p>
        </w:tc>
      </w:tr>
      <w:tr w:rsidR="00507D25" w14:paraId="73A8D5CD"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3433D35" w14:textId="77777777" w:rsidR="00507D25" w:rsidRDefault="00507D25">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5900699" w14:textId="77777777" w:rsidR="00507D2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指导木垒县市场主体的注册登记工作，建立市场主体信息公示和共享机制，依法公示和共享有关信息，加强信用监管，推动市场主体信用体系建设。指导市场监管综合执法队伍整合和建设，推动实行统一的市场监管。组织查处重大违法案件，规范市场监管行政执法行为。</w:t>
            </w:r>
          </w:p>
        </w:tc>
        <w:tc>
          <w:tcPr>
            <w:tcW w:w="4581" w:type="dxa"/>
            <w:gridSpan w:val="4"/>
            <w:tcBorders>
              <w:top w:val="single" w:sz="4" w:space="0" w:color="auto"/>
              <w:left w:val="nil"/>
              <w:bottom w:val="single" w:sz="4" w:space="0" w:color="auto"/>
              <w:right w:val="single" w:sz="4" w:space="0" w:color="auto"/>
            </w:tcBorders>
          </w:tcPr>
          <w:p w14:paraId="315A0E99" w14:textId="77777777" w:rsidR="00507D2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本次自评节点，我单位已完成食用农产品抽检批次148批次，投诉处理及时率达到95%，全县市场主体检查覆盖率达到90%，市场主体登记覆盖率达到95%，提升了食品安全水平，保障了公众健康安全，维护了市场秩序，促进了市场的健康有序发展。</w:t>
            </w:r>
          </w:p>
        </w:tc>
        <w:tc>
          <w:tcPr>
            <w:tcW w:w="284" w:type="dxa"/>
            <w:tcBorders>
              <w:top w:val="nil"/>
              <w:left w:val="nil"/>
              <w:bottom w:val="nil"/>
              <w:right w:val="nil"/>
            </w:tcBorders>
            <w:noWrap/>
            <w:vAlign w:val="center"/>
          </w:tcPr>
          <w:p w14:paraId="66EED687" w14:textId="77777777" w:rsidR="00507D25" w:rsidRDefault="00507D25">
            <w:pPr>
              <w:rPr>
                <w:rFonts w:ascii="宋体" w:eastAsia="宋体" w:hAnsi="宋体" w:cs="宋体" w:hint="eastAsia"/>
                <w:sz w:val="18"/>
                <w:szCs w:val="18"/>
                <w:lang w:eastAsia="zh-CN"/>
              </w:rPr>
            </w:pPr>
          </w:p>
        </w:tc>
      </w:tr>
      <w:tr w:rsidR="00507D25" w14:paraId="626DC4B8"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F1F14BB"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566B1C21"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662301CA"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6808A07C"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2E01A9C9"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10DB5DB6"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AA6D2DA"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7CF3D6D3" w14:textId="77777777" w:rsidR="00507D2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185507E" w14:textId="77777777" w:rsidR="00507D25" w:rsidRDefault="00507D25">
            <w:pPr>
              <w:rPr>
                <w:rFonts w:ascii="宋体" w:eastAsia="宋体" w:hAnsi="宋体" w:cs="宋体" w:hint="eastAsia"/>
                <w:b/>
                <w:bCs/>
                <w:sz w:val="18"/>
                <w:szCs w:val="18"/>
              </w:rPr>
            </w:pPr>
          </w:p>
        </w:tc>
      </w:tr>
      <w:tr w:rsidR="00507D25" w14:paraId="7DB5D8AA"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820A39B" w14:textId="77777777" w:rsidR="00507D2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tcBorders>
              <w:top w:val="nil"/>
              <w:left w:val="nil"/>
              <w:bottom w:val="single" w:sz="4" w:space="0" w:color="auto"/>
              <w:right w:val="single" w:sz="4" w:space="0" w:color="auto"/>
            </w:tcBorders>
            <w:noWrap/>
            <w:vAlign w:val="center"/>
          </w:tcPr>
          <w:p w14:paraId="07314635" w14:textId="77777777" w:rsidR="00507D2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85F0B04" w14:textId="77777777" w:rsidR="00507D2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食用农产品抽检批次</w:t>
            </w:r>
            <w:proofErr w:type="spellEnd"/>
          </w:p>
        </w:tc>
        <w:tc>
          <w:tcPr>
            <w:tcW w:w="1242" w:type="dxa"/>
            <w:tcBorders>
              <w:top w:val="nil"/>
              <w:left w:val="nil"/>
              <w:bottom w:val="single" w:sz="4" w:space="0" w:color="auto"/>
              <w:right w:val="single" w:sz="4" w:space="0" w:color="auto"/>
            </w:tcBorders>
            <w:noWrap/>
            <w:vAlign w:val="center"/>
          </w:tcPr>
          <w:p w14:paraId="41364EED"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&gt;=141批次</w:t>
            </w:r>
          </w:p>
        </w:tc>
        <w:tc>
          <w:tcPr>
            <w:tcW w:w="1417" w:type="dxa"/>
            <w:tcBorders>
              <w:top w:val="nil"/>
              <w:left w:val="nil"/>
              <w:bottom w:val="single" w:sz="4" w:space="0" w:color="auto"/>
              <w:right w:val="single" w:sz="4" w:space="0" w:color="auto"/>
            </w:tcBorders>
            <w:noWrap/>
            <w:vAlign w:val="center"/>
          </w:tcPr>
          <w:p w14:paraId="5B7EB5F5" w14:textId="77777777" w:rsidR="00507D2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木垒哈萨克自治县市场监督管理局2024年工作计划</w:t>
            </w:r>
          </w:p>
        </w:tc>
        <w:tc>
          <w:tcPr>
            <w:tcW w:w="1134" w:type="dxa"/>
            <w:tcBorders>
              <w:top w:val="nil"/>
              <w:left w:val="nil"/>
              <w:bottom w:val="single" w:sz="4" w:space="0" w:color="auto"/>
              <w:right w:val="single" w:sz="4" w:space="0" w:color="auto"/>
            </w:tcBorders>
            <w:noWrap/>
            <w:vAlign w:val="center"/>
          </w:tcPr>
          <w:p w14:paraId="27176C5F"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8A52F5C"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148批次</w:t>
            </w:r>
          </w:p>
        </w:tc>
        <w:tc>
          <w:tcPr>
            <w:tcW w:w="720" w:type="dxa"/>
            <w:tcBorders>
              <w:top w:val="nil"/>
              <w:left w:val="nil"/>
              <w:bottom w:val="single" w:sz="4" w:space="0" w:color="auto"/>
              <w:right w:val="single" w:sz="4" w:space="0" w:color="auto"/>
            </w:tcBorders>
            <w:noWrap/>
            <w:vAlign w:val="center"/>
          </w:tcPr>
          <w:p w14:paraId="0416B4C4"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6217C98" w14:textId="77777777" w:rsidR="00507D25" w:rsidRDefault="00507D25">
            <w:pPr>
              <w:jc w:val="center"/>
              <w:rPr>
                <w:rFonts w:ascii="宋体" w:eastAsia="宋体" w:hAnsi="宋体" w:cs="宋体" w:hint="eastAsia"/>
                <w:sz w:val="18"/>
                <w:szCs w:val="18"/>
              </w:rPr>
            </w:pPr>
          </w:p>
        </w:tc>
      </w:tr>
      <w:tr w:rsidR="00507D25" w14:paraId="0350B781" w14:textId="77777777">
        <w:trPr>
          <w:cantSplit/>
          <w:trHeight w:val="740"/>
        </w:trPr>
        <w:tc>
          <w:tcPr>
            <w:tcW w:w="993" w:type="dxa"/>
            <w:vMerge/>
            <w:tcBorders>
              <w:left w:val="single" w:sz="4" w:space="0" w:color="auto"/>
              <w:right w:val="single" w:sz="4" w:space="0" w:color="auto"/>
            </w:tcBorders>
            <w:noWrap/>
            <w:vAlign w:val="center"/>
          </w:tcPr>
          <w:p w14:paraId="4445DEEE" w14:textId="77777777" w:rsidR="00507D25" w:rsidRDefault="00507D25">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47861CF6" w14:textId="77777777" w:rsidR="00507D2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时效指标</w:t>
            </w:r>
            <w:proofErr w:type="spellEnd"/>
          </w:p>
        </w:tc>
        <w:tc>
          <w:tcPr>
            <w:tcW w:w="1418" w:type="dxa"/>
            <w:tcBorders>
              <w:top w:val="nil"/>
              <w:left w:val="nil"/>
              <w:bottom w:val="single" w:sz="4" w:space="0" w:color="auto"/>
              <w:right w:val="single" w:sz="4" w:space="0" w:color="auto"/>
            </w:tcBorders>
            <w:noWrap/>
            <w:vAlign w:val="center"/>
          </w:tcPr>
          <w:p w14:paraId="7F11F4A9" w14:textId="77777777" w:rsidR="00507D2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投诉处理及时率</w:t>
            </w:r>
            <w:proofErr w:type="spellEnd"/>
          </w:p>
        </w:tc>
        <w:tc>
          <w:tcPr>
            <w:tcW w:w="1242" w:type="dxa"/>
            <w:tcBorders>
              <w:top w:val="nil"/>
              <w:left w:val="nil"/>
              <w:bottom w:val="single" w:sz="4" w:space="0" w:color="auto"/>
              <w:right w:val="single" w:sz="4" w:space="0" w:color="auto"/>
            </w:tcBorders>
            <w:noWrap/>
            <w:vAlign w:val="center"/>
          </w:tcPr>
          <w:p w14:paraId="6EE3FBCA"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3B3F7316" w14:textId="77777777" w:rsidR="00507D2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木垒哈萨克自治县市场监督管理局2024年工作计划</w:t>
            </w:r>
          </w:p>
        </w:tc>
        <w:tc>
          <w:tcPr>
            <w:tcW w:w="1134" w:type="dxa"/>
            <w:tcBorders>
              <w:top w:val="nil"/>
              <w:left w:val="nil"/>
              <w:bottom w:val="single" w:sz="4" w:space="0" w:color="auto"/>
              <w:right w:val="single" w:sz="4" w:space="0" w:color="auto"/>
            </w:tcBorders>
            <w:noWrap/>
            <w:vAlign w:val="center"/>
          </w:tcPr>
          <w:p w14:paraId="0C2EF2D4"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0266EB5"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ab/>
              <w:t>95%</w:t>
            </w:r>
          </w:p>
        </w:tc>
        <w:tc>
          <w:tcPr>
            <w:tcW w:w="720" w:type="dxa"/>
            <w:tcBorders>
              <w:top w:val="nil"/>
              <w:left w:val="nil"/>
              <w:bottom w:val="single" w:sz="4" w:space="0" w:color="auto"/>
              <w:right w:val="single" w:sz="4" w:space="0" w:color="auto"/>
            </w:tcBorders>
            <w:noWrap/>
            <w:vAlign w:val="center"/>
          </w:tcPr>
          <w:p w14:paraId="5D71D85D"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38653FB" w14:textId="77777777" w:rsidR="00507D25" w:rsidRDefault="00507D25">
            <w:pPr>
              <w:jc w:val="center"/>
              <w:rPr>
                <w:rFonts w:ascii="宋体" w:eastAsia="宋体" w:hAnsi="宋体" w:cs="宋体" w:hint="eastAsia"/>
                <w:sz w:val="18"/>
                <w:szCs w:val="18"/>
              </w:rPr>
            </w:pPr>
          </w:p>
        </w:tc>
      </w:tr>
      <w:tr w:rsidR="00507D25" w14:paraId="24AC2E32" w14:textId="77777777">
        <w:trPr>
          <w:cantSplit/>
          <w:trHeight w:val="740"/>
        </w:trPr>
        <w:tc>
          <w:tcPr>
            <w:tcW w:w="993" w:type="dxa"/>
            <w:vMerge/>
            <w:tcBorders>
              <w:left w:val="single" w:sz="4" w:space="0" w:color="auto"/>
              <w:right w:val="single" w:sz="4" w:space="0" w:color="auto"/>
            </w:tcBorders>
            <w:noWrap/>
            <w:vAlign w:val="center"/>
          </w:tcPr>
          <w:p w14:paraId="4A9C71F5" w14:textId="77777777" w:rsidR="00507D25" w:rsidRDefault="00507D25">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6ECC9048" w14:textId="77777777" w:rsidR="00507D2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38C8078D" w14:textId="77777777" w:rsidR="00507D2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全县市场主体检查覆盖率</w:t>
            </w:r>
          </w:p>
        </w:tc>
        <w:tc>
          <w:tcPr>
            <w:tcW w:w="1242" w:type="dxa"/>
            <w:tcBorders>
              <w:top w:val="nil"/>
              <w:left w:val="nil"/>
              <w:bottom w:val="single" w:sz="4" w:space="0" w:color="auto"/>
              <w:right w:val="single" w:sz="4" w:space="0" w:color="auto"/>
            </w:tcBorders>
            <w:noWrap/>
            <w:vAlign w:val="center"/>
          </w:tcPr>
          <w:p w14:paraId="6CD68D8D"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7E01588C" w14:textId="77777777" w:rsidR="00507D2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木垒哈萨克自治县市场监督管理局2024年工作计划</w:t>
            </w:r>
          </w:p>
        </w:tc>
        <w:tc>
          <w:tcPr>
            <w:tcW w:w="1134" w:type="dxa"/>
            <w:tcBorders>
              <w:top w:val="nil"/>
              <w:left w:val="nil"/>
              <w:bottom w:val="single" w:sz="4" w:space="0" w:color="auto"/>
              <w:right w:val="single" w:sz="4" w:space="0" w:color="auto"/>
            </w:tcBorders>
            <w:noWrap/>
            <w:vAlign w:val="center"/>
          </w:tcPr>
          <w:p w14:paraId="14AEFCA8"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181F6E02"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ab/>
              <w:t>90%</w:t>
            </w:r>
          </w:p>
        </w:tc>
        <w:tc>
          <w:tcPr>
            <w:tcW w:w="720" w:type="dxa"/>
            <w:tcBorders>
              <w:top w:val="nil"/>
              <w:left w:val="nil"/>
              <w:bottom w:val="single" w:sz="4" w:space="0" w:color="auto"/>
              <w:right w:val="single" w:sz="4" w:space="0" w:color="auto"/>
            </w:tcBorders>
            <w:noWrap/>
            <w:vAlign w:val="center"/>
          </w:tcPr>
          <w:p w14:paraId="08CC0651"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161AFEC3" w14:textId="77777777" w:rsidR="00507D25" w:rsidRDefault="00507D25">
            <w:pPr>
              <w:jc w:val="center"/>
              <w:rPr>
                <w:rFonts w:ascii="宋体" w:eastAsia="宋体" w:hAnsi="宋体" w:cs="宋体" w:hint="eastAsia"/>
                <w:sz w:val="18"/>
                <w:szCs w:val="18"/>
              </w:rPr>
            </w:pPr>
          </w:p>
        </w:tc>
      </w:tr>
      <w:tr w:rsidR="00507D25" w14:paraId="52D6E2F0" w14:textId="77777777">
        <w:trPr>
          <w:cantSplit/>
          <w:trHeight w:val="740"/>
        </w:trPr>
        <w:tc>
          <w:tcPr>
            <w:tcW w:w="993" w:type="dxa"/>
            <w:vMerge/>
            <w:tcBorders>
              <w:left w:val="single" w:sz="4" w:space="0" w:color="auto"/>
              <w:right w:val="single" w:sz="4" w:space="0" w:color="auto"/>
            </w:tcBorders>
            <w:noWrap/>
            <w:vAlign w:val="center"/>
          </w:tcPr>
          <w:p w14:paraId="7C750635" w14:textId="77777777" w:rsidR="00507D25" w:rsidRDefault="00507D2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07C1B7C" w14:textId="77777777" w:rsidR="00507D25" w:rsidRDefault="00507D2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437442F" w14:textId="77777777" w:rsidR="00507D2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市场主体登记覆盖率</w:t>
            </w:r>
            <w:proofErr w:type="spellEnd"/>
          </w:p>
        </w:tc>
        <w:tc>
          <w:tcPr>
            <w:tcW w:w="1242" w:type="dxa"/>
            <w:tcBorders>
              <w:top w:val="nil"/>
              <w:left w:val="nil"/>
              <w:bottom w:val="single" w:sz="4" w:space="0" w:color="auto"/>
              <w:right w:val="single" w:sz="4" w:space="0" w:color="auto"/>
            </w:tcBorders>
            <w:noWrap/>
            <w:vAlign w:val="center"/>
          </w:tcPr>
          <w:p w14:paraId="773F7445"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585C79EB" w14:textId="77777777" w:rsidR="00507D2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木垒哈萨克自治县市场监督管理局2024年工作计划</w:t>
            </w:r>
          </w:p>
        </w:tc>
        <w:tc>
          <w:tcPr>
            <w:tcW w:w="1134" w:type="dxa"/>
            <w:tcBorders>
              <w:top w:val="nil"/>
              <w:left w:val="nil"/>
              <w:bottom w:val="single" w:sz="4" w:space="0" w:color="auto"/>
              <w:right w:val="single" w:sz="4" w:space="0" w:color="auto"/>
            </w:tcBorders>
            <w:noWrap/>
            <w:vAlign w:val="center"/>
          </w:tcPr>
          <w:p w14:paraId="6EBE1A23"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DFDB4E4"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ab/>
              <w:t>95%</w:t>
            </w:r>
          </w:p>
        </w:tc>
        <w:tc>
          <w:tcPr>
            <w:tcW w:w="720" w:type="dxa"/>
            <w:tcBorders>
              <w:top w:val="nil"/>
              <w:left w:val="nil"/>
              <w:bottom w:val="single" w:sz="4" w:space="0" w:color="auto"/>
              <w:right w:val="single" w:sz="4" w:space="0" w:color="auto"/>
            </w:tcBorders>
            <w:noWrap/>
            <w:vAlign w:val="center"/>
          </w:tcPr>
          <w:p w14:paraId="59115230"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088AE098" w14:textId="77777777" w:rsidR="00507D25" w:rsidRDefault="00507D25">
            <w:pPr>
              <w:jc w:val="center"/>
              <w:rPr>
                <w:rFonts w:ascii="宋体" w:eastAsia="宋体" w:hAnsi="宋体" w:cs="宋体" w:hint="eastAsia"/>
                <w:sz w:val="18"/>
                <w:szCs w:val="18"/>
              </w:rPr>
            </w:pPr>
          </w:p>
        </w:tc>
      </w:tr>
      <w:tr w:rsidR="00507D25" w14:paraId="381A3285"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8CCE21D" w14:textId="77777777" w:rsidR="00507D25" w:rsidRDefault="00507D2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70B2C9C" w14:textId="77777777" w:rsidR="00507D25" w:rsidRDefault="00507D2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2BB0761" w14:textId="77777777" w:rsidR="00507D2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药品、医疗器械、化妆品日常监管检查覆盖率</w:t>
            </w:r>
          </w:p>
        </w:tc>
        <w:tc>
          <w:tcPr>
            <w:tcW w:w="1242" w:type="dxa"/>
            <w:tcBorders>
              <w:top w:val="nil"/>
              <w:left w:val="nil"/>
              <w:bottom w:val="single" w:sz="4" w:space="0" w:color="auto"/>
              <w:right w:val="single" w:sz="4" w:space="0" w:color="auto"/>
            </w:tcBorders>
            <w:noWrap/>
            <w:vAlign w:val="center"/>
          </w:tcPr>
          <w:p w14:paraId="6C17029B"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49CBE380" w14:textId="77777777" w:rsidR="00507D2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木垒哈萨克自治县市场监督管理局2024年工作计划</w:t>
            </w:r>
          </w:p>
        </w:tc>
        <w:tc>
          <w:tcPr>
            <w:tcW w:w="1134" w:type="dxa"/>
            <w:tcBorders>
              <w:top w:val="nil"/>
              <w:left w:val="nil"/>
              <w:bottom w:val="single" w:sz="4" w:space="0" w:color="auto"/>
              <w:right w:val="single" w:sz="4" w:space="0" w:color="auto"/>
            </w:tcBorders>
            <w:noWrap/>
            <w:vAlign w:val="center"/>
          </w:tcPr>
          <w:p w14:paraId="2DE3949F"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0EC9598D"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5D7D3C21" w14:textId="77777777" w:rsidR="00507D2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878A9E3" w14:textId="77777777" w:rsidR="00507D25" w:rsidRDefault="00507D25">
            <w:pPr>
              <w:jc w:val="center"/>
              <w:rPr>
                <w:rFonts w:ascii="宋体" w:eastAsia="宋体" w:hAnsi="宋体" w:cs="宋体" w:hint="eastAsia"/>
                <w:sz w:val="18"/>
                <w:szCs w:val="18"/>
              </w:rPr>
            </w:pPr>
          </w:p>
        </w:tc>
      </w:tr>
    </w:tbl>
    <w:p w14:paraId="6010F5FA" w14:textId="77777777" w:rsidR="00507D2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5B9539D" w14:textId="77777777" w:rsidR="00507D2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507D25" w14:paraId="4AA3012C"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1C94EB5" w14:textId="77777777" w:rsidR="00507D25" w:rsidRDefault="00000000">
            <w:pPr>
              <w:jc w:val="center"/>
              <w:rPr>
                <w:rFonts w:ascii="宋体" w:eastAsia="宋体" w:hAnsi="宋体" w:cs="宋体" w:hint="eastAsia"/>
                <w:b/>
                <w:bCs/>
                <w:color w:val="000000"/>
                <w:sz w:val="18"/>
                <w:szCs w:val="18"/>
              </w:rPr>
            </w:pPr>
            <w:bookmarkStart w:id="9" w:name="_Hlk201837198"/>
            <w:bookmarkEnd w:id="8"/>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12DD30BA" w14:textId="77777777" w:rsidR="00507D2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2024年阳光食品PPP项目、产品质量抽检、食品抽检资金</w:t>
            </w:r>
          </w:p>
        </w:tc>
      </w:tr>
      <w:tr w:rsidR="00507D25" w14:paraId="38AE0E74"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A70D843"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06257608" w14:textId="77777777" w:rsidR="00507D2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木垒哈萨克自治县市场监督管理局</w:t>
            </w:r>
          </w:p>
        </w:tc>
        <w:tc>
          <w:tcPr>
            <w:tcW w:w="708" w:type="pct"/>
            <w:gridSpan w:val="2"/>
            <w:tcBorders>
              <w:top w:val="single" w:sz="4" w:space="0" w:color="auto"/>
              <w:left w:val="nil"/>
              <w:bottom w:val="single" w:sz="4" w:space="0" w:color="auto"/>
              <w:right w:val="single" w:sz="4" w:space="0" w:color="auto"/>
            </w:tcBorders>
            <w:vAlign w:val="center"/>
          </w:tcPr>
          <w:p w14:paraId="662DD5C3"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076E9746" w14:textId="77777777" w:rsidR="00507D2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木垒哈萨克自治县市场监督管理局</w:t>
            </w:r>
          </w:p>
        </w:tc>
      </w:tr>
      <w:tr w:rsidR="00507D25" w14:paraId="0E550D2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86D508F"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4B83E50" w14:textId="77777777" w:rsidR="00507D25" w:rsidRDefault="00507D25">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0B3B5E07"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7F92F9A5"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4803D9B"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6C83728"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9F8B6D3"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658A8674"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507D25" w14:paraId="2D61B7A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FE53733" w14:textId="77777777" w:rsidR="00507D25" w:rsidRDefault="00507D2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78390AB"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D51D4C1"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3" w:type="pct"/>
            <w:gridSpan w:val="3"/>
            <w:tcBorders>
              <w:top w:val="single" w:sz="4" w:space="0" w:color="auto"/>
              <w:left w:val="nil"/>
              <w:bottom w:val="single" w:sz="4" w:space="0" w:color="auto"/>
              <w:right w:val="single" w:sz="4" w:space="0" w:color="auto"/>
            </w:tcBorders>
            <w:vAlign w:val="center"/>
          </w:tcPr>
          <w:p w14:paraId="675BA16A"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57.74</w:t>
            </w:r>
          </w:p>
        </w:tc>
        <w:tc>
          <w:tcPr>
            <w:tcW w:w="708" w:type="pct"/>
            <w:gridSpan w:val="2"/>
            <w:tcBorders>
              <w:top w:val="single" w:sz="4" w:space="0" w:color="auto"/>
              <w:left w:val="nil"/>
              <w:bottom w:val="single" w:sz="4" w:space="0" w:color="auto"/>
              <w:right w:val="single" w:sz="4" w:space="0" w:color="auto"/>
            </w:tcBorders>
            <w:vAlign w:val="center"/>
          </w:tcPr>
          <w:p w14:paraId="414C4D47"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57.74</w:t>
            </w:r>
          </w:p>
        </w:tc>
        <w:tc>
          <w:tcPr>
            <w:tcW w:w="671" w:type="pct"/>
            <w:gridSpan w:val="2"/>
            <w:tcBorders>
              <w:top w:val="nil"/>
              <w:left w:val="nil"/>
              <w:bottom w:val="single" w:sz="4" w:space="0" w:color="auto"/>
              <w:right w:val="single" w:sz="4" w:space="0" w:color="auto"/>
            </w:tcBorders>
            <w:vAlign w:val="center"/>
          </w:tcPr>
          <w:p w14:paraId="273D7A9B"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C954FAA"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71E3847"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507D25" w14:paraId="4E08C08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8CFAD42" w14:textId="77777777" w:rsidR="00507D25" w:rsidRDefault="00507D2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2366ECD"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D45A6A9"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3" w:type="pct"/>
            <w:gridSpan w:val="3"/>
            <w:tcBorders>
              <w:top w:val="single" w:sz="4" w:space="0" w:color="auto"/>
              <w:left w:val="nil"/>
              <w:bottom w:val="single" w:sz="4" w:space="0" w:color="auto"/>
              <w:right w:val="single" w:sz="4" w:space="0" w:color="auto"/>
            </w:tcBorders>
            <w:vAlign w:val="center"/>
          </w:tcPr>
          <w:p w14:paraId="6417625B"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57.74</w:t>
            </w:r>
          </w:p>
        </w:tc>
        <w:tc>
          <w:tcPr>
            <w:tcW w:w="708" w:type="pct"/>
            <w:gridSpan w:val="2"/>
            <w:tcBorders>
              <w:top w:val="single" w:sz="4" w:space="0" w:color="auto"/>
              <w:left w:val="nil"/>
              <w:bottom w:val="single" w:sz="4" w:space="0" w:color="auto"/>
              <w:right w:val="single" w:sz="4" w:space="0" w:color="auto"/>
            </w:tcBorders>
            <w:vAlign w:val="center"/>
          </w:tcPr>
          <w:p w14:paraId="70252967"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57.74</w:t>
            </w:r>
          </w:p>
        </w:tc>
        <w:tc>
          <w:tcPr>
            <w:tcW w:w="671" w:type="pct"/>
            <w:gridSpan w:val="2"/>
            <w:tcBorders>
              <w:top w:val="nil"/>
              <w:left w:val="nil"/>
              <w:bottom w:val="single" w:sz="4" w:space="0" w:color="auto"/>
              <w:right w:val="single" w:sz="4" w:space="0" w:color="auto"/>
            </w:tcBorders>
            <w:vAlign w:val="center"/>
          </w:tcPr>
          <w:p w14:paraId="5CB24748"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E658087"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700A00C"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07D25" w14:paraId="64E966A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0CDEE07" w14:textId="77777777" w:rsidR="00507D25" w:rsidRDefault="00507D2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731623A" w14:textId="77777777" w:rsidR="00507D2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C92232F"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D5CB34B"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8570968"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E10A75B"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FF14053"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53D8A24"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507D25" w14:paraId="021BC30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9153F15"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6F21FDF7"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0618D7CF"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507D25" w14:paraId="534E6E5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E16423A" w14:textId="77777777" w:rsidR="00507D25" w:rsidRDefault="00507D25">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6F7A4FB" w14:textId="77777777" w:rsidR="00507D2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按照工作计划，完成2024年度木垒县食品监督管理抽检工作，对重大违法行为举报者进行奖励，推进木垒县市场监督</w:t>
            </w:r>
            <w:proofErr w:type="gramStart"/>
            <w:r>
              <w:rPr>
                <w:rFonts w:ascii="宋体" w:eastAsia="宋体" w:hAnsi="宋体" w:cs="宋体" w:hint="eastAsia"/>
                <w:color w:val="000000"/>
                <w:sz w:val="18"/>
                <w:szCs w:val="18"/>
                <w:lang w:eastAsia="zh-CN"/>
              </w:rPr>
              <w:t>管理平稳</w:t>
            </w:r>
            <w:proofErr w:type="gramEnd"/>
            <w:r>
              <w:rPr>
                <w:rFonts w:ascii="宋体" w:eastAsia="宋体" w:hAnsi="宋体" w:cs="宋体" w:hint="eastAsia"/>
                <w:color w:val="000000"/>
                <w:sz w:val="18"/>
                <w:szCs w:val="18"/>
                <w:lang w:eastAsia="zh-CN"/>
              </w:rPr>
              <w:t>有序。</w:t>
            </w:r>
          </w:p>
        </w:tc>
        <w:tc>
          <w:tcPr>
            <w:tcW w:w="2559" w:type="pct"/>
            <w:gridSpan w:val="7"/>
            <w:tcBorders>
              <w:top w:val="single" w:sz="4" w:space="0" w:color="auto"/>
              <w:left w:val="nil"/>
              <w:bottom w:val="single" w:sz="4" w:space="0" w:color="auto"/>
              <w:right w:val="single" w:sz="4" w:space="0" w:color="auto"/>
            </w:tcBorders>
            <w:vAlign w:val="center"/>
          </w:tcPr>
          <w:p w14:paraId="55810FF8" w14:textId="77777777" w:rsidR="00507D2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2024年度木垒县食品监督管理抽检工作，对重大违法行为举报者进行奖励。通过该项目的实施，提升了食品安全水平，保障了公众健康安全，维护了市场秩序，促进了市场的健康有序发展。</w:t>
            </w:r>
          </w:p>
        </w:tc>
      </w:tr>
      <w:tr w:rsidR="00507D25" w14:paraId="65D6559D" w14:textId="77777777">
        <w:trPr>
          <w:trHeight w:val="820"/>
        </w:trPr>
        <w:tc>
          <w:tcPr>
            <w:tcW w:w="328" w:type="pct"/>
            <w:tcBorders>
              <w:top w:val="nil"/>
              <w:left w:val="single" w:sz="4" w:space="0" w:color="auto"/>
              <w:bottom w:val="single" w:sz="4" w:space="0" w:color="auto"/>
              <w:right w:val="single" w:sz="4" w:space="0" w:color="auto"/>
            </w:tcBorders>
            <w:vAlign w:val="center"/>
          </w:tcPr>
          <w:p w14:paraId="02EAEF5F" w14:textId="77777777" w:rsidR="00507D25" w:rsidRDefault="00507D2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9EDD01B"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3553EF5"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785CE860"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1F4BA258"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339FCA09"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14167A5D"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D60F303"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4B57A0E4"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7BC42CC2"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FF5F7D4"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0A31427B"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1ED02095"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17EBAF0" w14:textId="77777777" w:rsidR="00507D2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507D25" w14:paraId="76CD48AB" w14:textId="77777777">
        <w:trPr>
          <w:trHeight w:val="800"/>
        </w:trPr>
        <w:tc>
          <w:tcPr>
            <w:tcW w:w="328" w:type="pct"/>
            <w:vMerge w:val="restart"/>
            <w:tcBorders>
              <w:top w:val="nil"/>
              <w:left w:val="single" w:sz="4" w:space="0" w:color="auto"/>
              <w:right w:val="single" w:sz="4" w:space="0" w:color="auto"/>
            </w:tcBorders>
            <w:vAlign w:val="center"/>
          </w:tcPr>
          <w:p w14:paraId="6A9F4C5D" w14:textId="77777777" w:rsidR="00507D2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C416DF0"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5238E70"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01C616F" w14:textId="77777777" w:rsidR="00507D2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食品安全抽检工作次数</w:t>
            </w:r>
          </w:p>
        </w:tc>
        <w:tc>
          <w:tcPr>
            <w:tcW w:w="334" w:type="pct"/>
            <w:tcBorders>
              <w:top w:val="nil"/>
              <w:left w:val="nil"/>
              <w:bottom w:val="single" w:sz="4" w:space="0" w:color="auto"/>
              <w:right w:val="single" w:sz="4" w:space="0" w:color="auto"/>
            </w:tcBorders>
            <w:vAlign w:val="center"/>
          </w:tcPr>
          <w:p w14:paraId="0BD2DE2E"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3A2521E"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&gt;=141批次</w:t>
            </w:r>
          </w:p>
        </w:tc>
        <w:tc>
          <w:tcPr>
            <w:tcW w:w="334" w:type="pct"/>
            <w:tcBorders>
              <w:top w:val="nil"/>
              <w:left w:val="nil"/>
              <w:bottom w:val="single" w:sz="4" w:space="0" w:color="auto"/>
              <w:right w:val="single" w:sz="4" w:space="0" w:color="auto"/>
            </w:tcBorders>
            <w:vAlign w:val="center"/>
          </w:tcPr>
          <w:p w14:paraId="753526B5"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=141批次</w:t>
            </w:r>
          </w:p>
        </w:tc>
        <w:tc>
          <w:tcPr>
            <w:tcW w:w="328" w:type="pct"/>
            <w:tcBorders>
              <w:top w:val="nil"/>
              <w:left w:val="nil"/>
              <w:bottom w:val="single" w:sz="4" w:space="0" w:color="auto"/>
              <w:right w:val="single" w:sz="4" w:space="0" w:color="auto"/>
            </w:tcBorders>
            <w:vAlign w:val="center"/>
          </w:tcPr>
          <w:p w14:paraId="131AD77B"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7C9488D"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FF10BE8"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62B672" w14:textId="77777777" w:rsidR="00507D25" w:rsidRDefault="00507D25">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EFE1438"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45A9C41" w14:textId="77777777" w:rsidR="00507D2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32969D1" w14:textId="77777777" w:rsidR="00507D25" w:rsidRDefault="00507D25">
            <w:pPr>
              <w:jc w:val="center"/>
              <w:rPr>
                <w:rFonts w:ascii="宋体" w:eastAsia="宋体" w:hAnsi="宋体" w:cs="宋体" w:hint="eastAsia"/>
                <w:color w:val="000000"/>
                <w:sz w:val="18"/>
                <w:szCs w:val="18"/>
              </w:rPr>
            </w:pPr>
          </w:p>
        </w:tc>
      </w:tr>
      <w:tr w:rsidR="00507D25" w14:paraId="18394EC5" w14:textId="77777777">
        <w:trPr>
          <w:trHeight w:val="800"/>
        </w:trPr>
        <w:tc>
          <w:tcPr>
            <w:tcW w:w="328" w:type="pct"/>
            <w:vMerge/>
            <w:tcBorders>
              <w:left w:val="single" w:sz="4" w:space="0" w:color="auto"/>
              <w:right w:val="single" w:sz="4" w:space="0" w:color="auto"/>
            </w:tcBorders>
            <w:vAlign w:val="center"/>
          </w:tcPr>
          <w:p w14:paraId="3C69CED8" w14:textId="77777777" w:rsidR="00507D25" w:rsidRDefault="00507D2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230FEB9" w14:textId="77777777" w:rsidR="00507D25" w:rsidRDefault="00507D2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A8D945"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24A412A5" w14:textId="77777777" w:rsidR="00507D2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计量器具强制检定率</w:t>
            </w:r>
            <w:proofErr w:type="spellEnd"/>
          </w:p>
        </w:tc>
        <w:tc>
          <w:tcPr>
            <w:tcW w:w="334" w:type="pct"/>
            <w:tcBorders>
              <w:top w:val="nil"/>
              <w:left w:val="nil"/>
              <w:bottom w:val="single" w:sz="4" w:space="0" w:color="auto"/>
              <w:right w:val="single" w:sz="4" w:space="0" w:color="auto"/>
            </w:tcBorders>
            <w:vAlign w:val="center"/>
          </w:tcPr>
          <w:p w14:paraId="456C110B"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D6A950"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F2A457F"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3B8CE09"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C51240"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A59F910"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68B4D684" w14:textId="77777777" w:rsidR="00507D25" w:rsidRDefault="00507D25">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C9681F5"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35048572" w14:textId="77777777" w:rsidR="00507D2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roofErr w:type="gramEnd"/>
          </w:p>
        </w:tc>
        <w:tc>
          <w:tcPr>
            <w:tcW w:w="524" w:type="pct"/>
            <w:tcBorders>
              <w:top w:val="nil"/>
              <w:left w:val="nil"/>
              <w:bottom w:val="single" w:sz="4" w:space="0" w:color="auto"/>
              <w:right w:val="single" w:sz="4" w:space="0" w:color="auto"/>
            </w:tcBorders>
            <w:vAlign w:val="center"/>
          </w:tcPr>
          <w:p w14:paraId="0980408E" w14:textId="77777777" w:rsidR="00507D25" w:rsidRDefault="00507D25">
            <w:pPr>
              <w:jc w:val="center"/>
              <w:rPr>
                <w:rFonts w:ascii="宋体" w:eastAsia="宋体" w:hAnsi="宋体" w:cs="宋体" w:hint="eastAsia"/>
                <w:color w:val="000000"/>
                <w:sz w:val="18"/>
                <w:szCs w:val="18"/>
              </w:rPr>
            </w:pPr>
          </w:p>
        </w:tc>
      </w:tr>
      <w:tr w:rsidR="00507D25" w14:paraId="2411FEB9" w14:textId="77777777">
        <w:trPr>
          <w:trHeight w:val="800"/>
        </w:trPr>
        <w:tc>
          <w:tcPr>
            <w:tcW w:w="328" w:type="pct"/>
            <w:vMerge/>
            <w:tcBorders>
              <w:left w:val="single" w:sz="4" w:space="0" w:color="auto"/>
              <w:right w:val="single" w:sz="4" w:space="0" w:color="auto"/>
            </w:tcBorders>
            <w:vAlign w:val="center"/>
          </w:tcPr>
          <w:p w14:paraId="698FA478" w14:textId="77777777" w:rsidR="00507D25" w:rsidRDefault="00507D2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6A585AE" w14:textId="77777777" w:rsidR="00507D25" w:rsidRDefault="00507D2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706483D"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70E38CF" w14:textId="77777777" w:rsidR="00507D2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食品安全监督抽检结果误差率（%）</w:t>
            </w:r>
          </w:p>
        </w:tc>
        <w:tc>
          <w:tcPr>
            <w:tcW w:w="334" w:type="pct"/>
            <w:tcBorders>
              <w:top w:val="nil"/>
              <w:left w:val="nil"/>
              <w:bottom w:val="single" w:sz="4" w:space="0" w:color="auto"/>
              <w:right w:val="single" w:sz="4" w:space="0" w:color="auto"/>
            </w:tcBorders>
            <w:vAlign w:val="center"/>
          </w:tcPr>
          <w:p w14:paraId="67A61F35"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08356E"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w:t>
            </w:r>
          </w:p>
        </w:tc>
        <w:tc>
          <w:tcPr>
            <w:tcW w:w="334" w:type="pct"/>
            <w:tcBorders>
              <w:top w:val="nil"/>
              <w:left w:val="nil"/>
              <w:bottom w:val="single" w:sz="4" w:space="0" w:color="auto"/>
              <w:right w:val="single" w:sz="4" w:space="0" w:color="auto"/>
            </w:tcBorders>
            <w:vAlign w:val="center"/>
          </w:tcPr>
          <w:p w14:paraId="34F69C7F"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8" w:type="pct"/>
            <w:tcBorders>
              <w:top w:val="nil"/>
              <w:left w:val="nil"/>
              <w:bottom w:val="single" w:sz="4" w:space="0" w:color="auto"/>
              <w:right w:val="single" w:sz="4" w:space="0" w:color="auto"/>
            </w:tcBorders>
            <w:vAlign w:val="center"/>
          </w:tcPr>
          <w:p w14:paraId="73DE7E63"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A39C65"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4B38F0E"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783E70D" w14:textId="77777777" w:rsidR="00507D25" w:rsidRDefault="00507D25">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43A4D4"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174151" w14:textId="77777777" w:rsidR="00507D2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57319445" w14:textId="77777777" w:rsidR="00507D25" w:rsidRDefault="00507D25">
            <w:pPr>
              <w:jc w:val="center"/>
              <w:rPr>
                <w:rFonts w:ascii="宋体" w:eastAsia="宋体" w:hAnsi="宋体" w:cs="宋体" w:hint="eastAsia"/>
                <w:color w:val="000000"/>
                <w:sz w:val="18"/>
                <w:szCs w:val="18"/>
              </w:rPr>
            </w:pPr>
          </w:p>
        </w:tc>
      </w:tr>
      <w:tr w:rsidR="00507D25" w14:paraId="083FA875" w14:textId="77777777">
        <w:trPr>
          <w:trHeight w:val="800"/>
        </w:trPr>
        <w:tc>
          <w:tcPr>
            <w:tcW w:w="328" w:type="pct"/>
            <w:vMerge/>
            <w:tcBorders>
              <w:left w:val="single" w:sz="4" w:space="0" w:color="auto"/>
              <w:right w:val="single" w:sz="4" w:space="0" w:color="auto"/>
            </w:tcBorders>
            <w:vAlign w:val="center"/>
          </w:tcPr>
          <w:p w14:paraId="6165C902" w14:textId="77777777" w:rsidR="00507D25" w:rsidRDefault="00507D25">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8DD4EB6" w14:textId="77777777" w:rsidR="00507D25" w:rsidRDefault="00507D2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214EB1"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1D4CD72" w14:textId="77777777" w:rsidR="00507D2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食品安全监督检查及时率</w:t>
            </w:r>
          </w:p>
        </w:tc>
        <w:tc>
          <w:tcPr>
            <w:tcW w:w="334" w:type="pct"/>
            <w:tcBorders>
              <w:top w:val="nil"/>
              <w:left w:val="nil"/>
              <w:bottom w:val="single" w:sz="4" w:space="0" w:color="auto"/>
              <w:right w:val="single" w:sz="4" w:space="0" w:color="auto"/>
            </w:tcBorders>
            <w:vAlign w:val="center"/>
          </w:tcPr>
          <w:p w14:paraId="5BDA4CAE"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BC86E1"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B8F4426"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2363A8D"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70F768"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9D035DE"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3AF2B0A" w14:textId="77777777" w:rsidR="00507D25" w:rsidRDefault="00507D25">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12EA9C"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BF438D" w14:textId="77777777" w:rsidR="00507D2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68F731B" w14:textId="77777777" w:rsidR="00507D25" w:rsidRDefault="00507D25">
            <w:pPr>
              <w:jc w:val="center"/>
              <w:rPr>
                <w:rFonts w:ascii="宋体" w:eastAsia="宋体" w:hAnsi="宋体" w:cs="宋体" w:hint="eastAsia"/>
                <w:color w:val="000000"/>
                <w:sz w:val="18"/>
                <w:szCs w:val="18"/>
              </w:rPr>
            </w:pPr>
          </w:p>
        </w:tc>
      </w:tr>
      <w:tr w:rsidR="00507D25" w14:paraId="265314C5" w14:textId="77777777">
        <w:trPr>
          <w:trHeight w:val="800"/>
        </w:trPr>
        <w:tc>
          <w:tcPr>
            <w:tcW w:w="328" w:type="pct"/>
            <w:vMerge/>
            <w:tcBorders>
              <w:left w:val="single" w:sz="4" w:space="0" w:color="auto"/>
              <w:right w:val="single" w:sz="4" w:space="0" w:color="auto"/>
            </w:tcBorders>
            <w:vAlign w:val="center"/>
          </w:tcPr>
          <w:p w14:paraId="0D2E3539" w14:textId="77777777" w:rsidR="00507D25" w:rsidRDefault="00507D2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BC7F55"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A6DBF7D"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F57EF8E" w14:textId="77777777" w:rsidR="00507D2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重大违法行为举报奖励金额</w:t>
            </w:r>
          </w:p>
        </w:tc>
        <w:tc>
          <w:tcPr>
            <w:tcW w:w="334" w:type="pct"/>
            <w:tcBorders>
              <w:top w:val="nil"/>
              <w:left w:val="nil"/>
              <w:bottom w:val="single" w:sz="4" w:space="0" w:color="auto"/>
              <w:right w:val="single" w:sz="4" w:space="0" w:color="auto"/>
            </w:tcBorders>
            <w:vAlign w:val="center"/>
          </w:tcPr>
          <w:p w14:paraId="6B8E0FEC"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405BBF5"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&lt;=1000元/次</w:t>
            </w:r>
          </w:p>
        </w:tc>
        <w:tc>
          <w:tcPr>
            <w:tcW w:w="334" w:type="pct"/>
            <w:tcBorders>
              <w:top w:val="nil"/>
              <w:left w:val="nil"/>
              <w:bottom w:val="single" w:sz="4" w:space="0" w:color="auto"/>
              <w:right w:val="single" w:sz="4" w:space="0" w:color="auto"/>
            </w:tcBorders>
            <w:vAlign w:val="center"/>
          </w:tcPr>
          <w:p w14:paraId="2B087D26"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=1000元/次</w:t>
            </w:r>
          </w:p>
        </w:tc>
        <w:tc>
          <w:tcPr>
            <w:tcW w:w="328" w:type="pct"/>
            <w:tcBorders>
              <w:top w:val="nil"/>
              <w:left w:val="nil"/>
              <w:bottom w:val="single" w:sz="4" w:space="0" w:color="auto"/>
              <w:right w:val="single" w:sz="4" w:space="0" w:color="auto"/>
            </w:tcBorders>
            <w:vAlign w:val="center"/>
          </w:tcPr>
          <w:p w14:paraId="7FB5D7CB"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E248166"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9853398"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192CB4" w14:textId="77777777" w:rsidR="00507D25" w:rsidRDefault="00507D25">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ED4D11A"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566B8DF" w14:textId="77777777" w:rsidR="00507D2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0CF288B" w14:textId="77777777" w:rsidR="00507D25" w:rsidRDefault="00507D25">
            <w:pPr>
              <w:jc w:val="center"/>
              <w:rPr>
                <w:rFonts w:ascii="宋体" w:eastAsia="宋体" w:hAnsi="宋体" w:cs="宋体" w:hint="eastAsia"/>
                <w:color w:val="000000"/>
                <w:sz w:val="18"/>
                <w:szCs w:val="18"/>
              </w:rPr>
            </w:pPr>
          </w:p>
        </w:tc>
      </w:tr>
      <w:tr w:rsidR="00507D25" w14:paraId="0A28BC1C" w14:textId="77777777">
        <w:trPr>
          <w:trHeight w:val="800"/>
        </w:trPr>
        <w:tc>
          <w:tcPr>
            <w:tcW w:w="328" w:type="pct"/>
            <w:vMerge/>
            <w:tcBorders>
              <w:left w:val="single" w:sz="4" w:space="0" w:color="auto"/>
              <w:right w:val="single" w:sz="4" w:space="0" w:color="auto"/>
            </w:tcBorders>
            <w:vAlign w:val="center"/>
          </w:tcPr>
          <w:p w14:paraId="5C508CDA" w14:textId="77777777" w:rsidR="00507D25" w:rsidRDefault="00507D25">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93870E2"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54F5CA1"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0A14DC0" w14:textId="77777777" w:rsidR="00507D25"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食品安全水平提升率</w:t>
            </w:r>
            <w:proofErr w:type="spellEnd"/>
          </w:p>
        </w:tc>
        <w:tc>
          <w:tcPr>
            <w:tcW w:w="334" w:type="pct"/>
            <w:tcBorders>
              <w:top w:val="nil"/>
              <w:left w:val="nil"/>
              <w:bottom w:val="single" w:sz="4" w:space="0" w:color="auto"/>
              <w:right w:val="single" w:sz="4" w:space="0" w:color="auto"/>
            </w:tcBorders>
            <w:vAlign w:val="center"/>
          </w:tcPr>
          <w:p w14:paraId="7730A09A"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F8E3CD7"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2EC0D88D"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74067E6"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DEB1C1"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5612BA"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194CB3" w14:textId="77777777" w:rsidR="00507D25" w:rsidRDefault="00507D25">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8A054C8"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E149E7" w14:textId="77777777" w:rsidR="00507D2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2DD2D89" w14:textId="77777777" w:rsidR="00507D25" w:rsidRDefault="00507D25">
            <w:pPr>
              <w:jc w:val="center"/>
              <w:rPr>
                <w:rFonts w:ascii="宋体" w:eastAsia="宋体" w:hAnsi="宋体" w:cs="宋体" w:hint="eastAsia"/>
                <w:color w:val="000000"/>
                <w:sz w:val="18"/>
                <w:szCs w:val="18"/>
              </w:rPr>
            </w:pPr>
          </w:p>
        </w:tc>
      </w:tr>
      <w:tr w:rsidR="00507D25" w14:paraId="7C3FC6F4" w14:textId="77777777">
        <w:trPr>
          <w:trHeight w:val="800"/>
        </w:trPr>
        <w:tc>
          <w:tcPr>
            <w:tcW w:w="328" w:type="pct"/>
            <w:vMerge/>
            <w:tcBorders>
              <w:left w:val="single" w:sz="4" w:space="0" w:color="auto"/>
              <w:right w:val="single" w:sz="4" w:space="0" w:color="auto"/>
            </w:tcBorders>
            <w:vAlign w:val="center"/>
          </w:tcPr>
          <w:p w14:paraId="57C541C2" w14:textId="77777777" w:rsidR="00507D25" w:rsidRDefault="00507D2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578832C" w14:textId="77777777" w:rsidR="00507D25" w:rsidRDefault="00507D2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4D04B4"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4BA3F71" w14:textId="77777777" w:rsidR="00507D2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食品安全风险监测覆盖率（%）</w:t>
            </w:r>
          </w:p>
        </w:tc>
        <w:tc>
          <w:tcPr>
            <w:tcW w:w="334" w:type="pct"/>
            <w:tcBorders>
              <w:top w:val="nil"/>
              <w:left w:val="nil"/>
              <w:bottom w:val="single" w:sz="4" w:space="0" w:color="auto"/>
              <w:right w:val="single" w:sz="4" w:space="0" w:color="auto"/>
            </w:tcBorders>
            <w:vAlign w:val="center"/>
          </w:tcPr>
          <w:p w14:paraId="4820818E"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170492"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1722AA"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A99B47D"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AE0C5B"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11CDCF2"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B54FA3F" w14:textId="77777777" w:rsidR="00507D25" w:rsidRDefault="00507D25">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610FD8F"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4DC130A" w14:textId="77777777" w:rsidR="00507D2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39D35A66" w14:textId="77777777" w:rsidR="00507D25" w:rsidRDefault="00507D25">
            <w:pPr>
              <w:jc w:val="center"/>
              <w:rPr>
                <w:rFonts w:ascii="宋体" w:eastAsia="宋体" w:hAnsi="宋体" w:cs="宋体" w:hint="eastAsia"/>
                <w:color w:val="000000"/>
                <w:sz w:val="18"/>
                <w:szCs w:val="18"/>
              </w:rPr>
            </w:pPr>
          </w:p>
        </w:tc>
      </w:tr>
      <w:tr w:rsidR="00507D25" w14:paraId="23F73A52" w14:textId="77777777">
        <w:trPr>
          <w:trHeight w:val="800"/>
        </w:trPr>
        <w:tc>
          <w:tcPr>
            <w:tcW w:w="328" w:type="pct"/>
            <w:vMerge/>
            <w:tcBorders>
              <w:left w:val="single" w:sz="4" w:space="0" w:color="auto"/>
              <w:bottom w:val="single" w:sz="4" w:space="0" w:color="auto"/>
              <w:right w:val="single" w:sz="4" w:space="0" w:color="auto"/>
            </w:tcBorders>
            <w:vAlign w:val="center"/>
          </w:tcPr>
          <w:p w14:paraId="35C07EEB" w14:textId="77777777" w:rsidR="00507D25" w:rsidRDefault="00507D2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D1D603"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10C065B"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755CC605" w14:textId="77777777" w:rsidR="00507D2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群众对食品抽检工作满意度</w:t>
            </w:r>
          </w:p>
        </w:tc>
        <w:tc>
          <w:tcPr>
            <w:tcW w:w="334" w:type="pct"/>
            <w:tcBorders>
              <w:top w:val="nil"/>
              <w:left w:val="nil"/>
              <w:bottom w:val="single" w:sz="4" w:space="0" w:color="auto"/>
              <w:right w:val="single" w:sz="4" w:space="0" w:color="auto"/>
            </w:tcBorders>
            <w:vAlign w:val="center"/>
          </w:tcPr>
          <w:p w14:paraId="03259C7D"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4F125D3"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244F542"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A81BB24"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F54FF0"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7086755"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70E3BF" w14:textId="77777777" w:rsidR="00507D25" w:rsidRDefault="00507D25">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DDDF53F" w14:textId="77777777" w:rsidR="00507D25"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7164A14" w14:textId="77777777" w:rsidR="00507D25"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D24B317" w14:textId="77777777" w:rsidR="00507D25" w:rsidRDefault="00507D25">
            <w:pPr>
              <w:jc w:val="center"/>
              <w:rPr>
                <w:rFonts w:ascii="宋体" w:eastAsia="宋体" w:hAnsi="宋体" w:cs="宋体" w:hint="eastAsia"/>
                <w:color w:val="000000"/>
                <w:sz w:val="18"/>
                <w:szCs w:val="18"/>
              </w:rPr>
            </w:pPr>
          </w:p>
        </w:tc>
      </w:tr>
      <w:tr w:rsidR="00507D25" w14:paraId="06F3098C"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E8521C5" w14:textId="77777777" w:rsidR="00507D25"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46D756F" w14:textId="77777777" w:rsidR="00507D2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63EE842" w14:textId="77777777" w:rsidR="00507D25" w:rsidRDefault="00507D25">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6610A04" w14:textId="77777777" w:rsidR="00507D25" w:rsidRDefault="00507D2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3C9ED5B" w14:textId="77777777" w:rsidR="00507D25" w:rsidRDefault="00507D25">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4A394DA" w14:textId="77777777" w:rsidR="00507D2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2922C09" w14:textId="77777777" w:rsidR="00507D25" w:rsidRDefault="00507D2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CB041FE" w14:textId="77777777" w:rsidR="00507D25" w:rsidRDefault="00507D2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0E07641" w14:textId="77777777" w:rsidR="00507D25" w:rsidRDefault="00507D2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E25724F" w14:textId="77777777" w:rsidR="00507D25" w:rsidRDefault="00507D2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D9EFA3E" w14:textId="77777777" w:rsidR="00507D25" w:rsidRDefault="00507D25">
            <w:pPr>
              <w:rPr>
                <w:rFonts w:ascii="宋体" w:eastAsia="宋体" w:hAnsi="宋体" w:cs="宋体" w:hint="eastAsia"/>
                <w:color w:val="000000"/>
                <w:sz w:val="18"/>
                <w:szCs w:val="18"/>
              </w:rPr>
            </w:pPr>
          </w:p>
        </w:tc>
      </w:tr>
      <w:bookmarkEnd w:id="9"/>
    </w:tbl>
    <w:p w14:paraId="34C1FE6D" w14:textId="77777777" w:rsidR="00507D25" w:rsidRDefault="00507D25">
      <w:pPr>
        <w:spacing w:after="0" w:line="240" w:lineRule="auto"/>
        <w:ind w:firstLineChars="200" w:firstLine="640"/>
        <w:jc w:val="both"/>
        <w:rPr>
          <w:rFonts w:ascii="仿宋_GB2312" w:eastAsia="仿宋_GB2312" w:hint="eastAsia"/>
          <w:sz w:val="32"/>
          <w:szCs w:val="32"/>
          <w:lang w:eastAsia="zh-CN"/>
        </w:rPr>
      </w:pPr>
    </w:p>
    <w:p w14:paraId="114A68C7" w14:textId="77777777" w:rsidR="00507D2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6EA25136" w14:textId="77777777" w:rsidR="00507D2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4128A4A" w14:textId="77777777" w:rsidR="00507D25" w:rsidRDefault="00507D25">
      <w:pPr>
        <w:spacing w:after="0" w:line="240" w:lineRule="auto"/>
        <w:ind w:firstLineChars="200" w:firstLine="640"/>
        <w:rPr>
          <w:rFonts w:ascii="仿宋_GB2312" w:eastAsia="仿宋_GB2312" w:hint="eastAsia"/>
          <w:sz w:val="32"/>
          <w:szCs w:val="32"/>
          <w:lang w:eastAsia="zh-CN"/>
        </w:rPr>
      </w:pPr>
    </w:p>
    <w:p w14:paraId="36501485" w14:textId="77777777" w:rsidR="00507D25" w:rsidRDefault="00000000">
      <w:pPr>
        <w:rPr>
          <w:rFonts w:hint="eastAsia"/>
          <w:lang w:eastAsia="zh-CN"/>
        </w:rPr>
      </w:pPr>
      <w:r>
        <w:rPr>
          <w:sz w:val="0"/>
          <w:szCs w:val="0"/>
          <w:lang w:eastAsia="zh-CN"/>
        </w:rPr>
        <w:br w:type="page"/>
      </w:r>
    </w:p>
    <w:p w14:paraId="393011C7" w14:textId="77777777" w:rsidR="00507D2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426C282"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E00A614"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9F03796"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F916C07"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8EA3005"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B4103D1"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83C0DCA"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2E9E650"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353C11"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F4E2A13"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4B0E2D6"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0FAED9C"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57A2030"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93192DA" w14:textId="77777777" w:rsidR="00507D2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DDB8A16" w14:textId="77777777" w:rsidR="00507D25" w:rsidRDefault="00000000">
      <w:pPr>
        <w:rPr>
          <w:rFonts w:hint="eastAsia"/>
          <w:lang w:eastAsia="zh-CN"/>
        </w:rPr>
      </w:pPr>
      <w:r>
        <w:rPr>
          <w:sz w:val="0"/>
          <w:szCs w:val="0"/>
          <w:lang w:eastAsia="zh-CN"/>
        </w:rPr>
        <w:br w:type="page"/>
      </w:r>
    </w:p>
    <w:p w14:paraId="1A4D667B" w14:textId="77777777" w:rsidR="00507D2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6613329" w14:textId="77777777" w:rsidR="00507D2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9F46164" w14:textId="77777777" w:rsidR="00507D2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F492DB1" w14:textId="77777777" w:rsidR="00507D2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56ABC97" w14:textId="77777777" w:rsidR="00507D2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AD1A5CE" w14:textId="77777777" w:rsidR="00507D2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7D2851D" w14:textId="77777777" w:rsidR="00507D2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24962A1" w14:textId="77777777" w:rsidR="00507D2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459A40F" w14:textId="77777777" w:rsidR="00507D2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DF7D107" w14:textId="77777777" w:rsidR="00507D2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07D2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5F74" w14:textId="77777777" w:rsidR="006459A4" w:rsidRDefault="006459A4">
      <w:pPr>
        <w:spacing w:line="240" w:lineRule="auto"/>
        <w:rPr>
          <w:rFonts w:hint="eastAsia"/>
        </w:rPr>
      </w:pPr>
      <w:r>
        <w:separator/>
      </w:r>
    </w:p>
  </w:endnote>
  <w:endnote w:type="continuationSeparator" w:id="0">
    <w:p w14:paraId="201CC9CF" w14:textId="77777777" w:rsidR="006459A4" w:rsidRDefault="006459A4">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3EC17" w14:textId="77777777" w:rsidR="006459A4" w:rsidRDefault="006459A4">
      <w:pPr>
        <w:spacing w:after="0"/>
        <w:rPr>
          <w:rFonts w:hint="eastAsia"/>
        </w:rPr>
      </w:pPr>
      <w:r>
        <w:separator/>
      </w:r>
    </w:p>
  </w:footnote>
  <w:footnote w:type="continuationSeparator" w:id="0">
    <w:p w14:paraId="1DE719B9" w14:textId="77777777" w:rsidR="006459A4" w:rsidRDefault="006459A4">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C1989"/>
    <w:rsid w:val="001C1989"/>
    <w:rsid w:val="00456532"/>
    <w:rsid w:val="00507D25"/>
    <w:rsid w:val="005C76C5"/>
    <w:rsid w:val="006459A4"/>
    <w:rsid w:val="0070013A"/>
    <w:rsid w:val="00861386"/>
    <w:rsid w:val="0088772F"/>
    <w:rsid w:val="00B5224D"/>
    <w:rsid w:val="00CF6B47"/>
    <w:rsid w:val="00EC6554"/>
    <w:rsid w:val="07AF5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8141FC"/>
  <w15:docId w15:val="{15EB2BCA-A14B-44F9-9E97-C457C4D4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563C1"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8">
    <w:name w:val="副标题 字符"/>
    <w:basedOn w:val="a0"/>
    <w:link w:val="a7"/>
    <w:uiPriority w:val="11"/>
    <w:rPr>
      <w:rFonts w:asciiTheme="majorHAnsi" w:eastAsiaTheme="majorEastAsia" w:hAnsiTheme="majorHAnsi" w:cstheme="majorBidi"/>
      <w:i/>
      <w:iCs/>
      <w:color w:val="4472C4" w:themeColor="accent1"/>
      <w:spacing w:val="15"/>
      <w:sz w:val="24"/>
      <w:szCs w:val="24"/>
    </w:rPr>
  </w:style>
  <w:style w:type="character" w:customStyle="1" w:styleId="aa">
    <w:name w:val="标题 字符"/>
    <w:basedOn w:val="a0"/>
    <w:link w:val="a9"/>
    <w:uiPriority w:val="10"/>
    <w:rPr>
      <w:rFonts w:asciiTheme="majorHAnsi" w:eastAsiaTheme="majorEastAsia" w:hAnsiTheme="majorHAnsi" w:cstheme="majorBidi"/>
      <w:color w:val="323E4F" w:themeColor="text2" w:themeShade="BF"/>
      <w:spacing w:val="5"/>
      <w:kern w:val="28"/>
      <w:sz w:val="52"/>
      <w:szCs w:val="52"/>
    </w:rPr>
  </w:style>
  <w:style w:type="paragraph" w:styleId="ae">
    <w:name w:val="footer"/>
    <w:basedOn w:val="a"/>
    <w:link w:val="af"/>
    <w:uiPriority w:val="99"/>
    <w:unhideWhenUsed/>
    <w:rsid w:val="00861386"/>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861386"/>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4401</Words>
  <Characters>4930</Characters>
  <Application>Microsoft Office Word</Application>
  <DocSecurity>0</DocSecurity>
  <Lines>547</Lines>
  <Paragraphs>358</Paragraphs>
  <ScaleCrop>false</ScaleCrop>
  <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4</cp:revision>
  <dcterms:created xsi:type="dcterms:W3CDTF">2025-09-25T02:36:00Z</dcterms:created>
  <dcterms:modified xsi:type="dcterms:W3CDTF">2025-11-18T03:17:00Z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8507BCC0301A40BFA428329484A992AE_12</vt:lpwstr>
  </property>
</Properties>
</file>